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A90340">
        <w:tc>
          <w:tcPr>
            <w:tcW w:w="9288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A90340">
        <w:tc>
          <w:tcPr>
            <w:tcW w:w="9288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6" w:type="dxa"/>
          </w:tcPr>
          <w:p w:rsidR="00A90340" w:rsidRDefault="00E761E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Emalux 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Dachgrund LF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6" w:type="dxa"/>
          </w:tcPr>
          <w:p w:rsidR="00A90340" w:rsidRDefault="00452358" w:rsidP="006B20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A90340">
              <w:rPr>
                <w:rFonts w:ascii="Arial" w:hAnsi="Arial" w:cs="Arial"/>
                <w:sz w:val="24"/>
                <w:szCs w:val="24"/>
              </w:rPr>
              <w:t>ösemittelfrei</w:t>
            </w:r>
            <w:r>
              <w:rPr>
                <w:rFonts w:ascii="Arial" w:hAnsi="Arial" w:cs="Arial"/>
                <w:sz w:val="24"/>
                <w:szCs w:val="24"/>
              </w:rPr>
              <w:t>es und</w:t>
            </w:r>
            <w:r w:rsidR="00A90340">
              <w:rPr>
                <w:rFonts w:ascii="Arial" w:hAnsi="Arial" w:cs="Arial"/>
                <w:sz w:val="24"/>
                <w:szCs w:val="24"/>
              </w:rPr>
              <w:t xml:space="preserve"> geruchsarm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="00A9034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Spezialgrundiermittel für nachfolgende Dachbeschichtungen mit verfestigender Wirkung und hoher Eindringtiefe. D</w:t>
            </w:r>
            <w:r w:rsidR="006B2071">
              <w:rPr>
                <w:rFonts w:ascii="Arial" w:hAnsi="Arial" w:cs="Arial"/>
                <w:sz w:val="24"/>
                <w:szCs w:val="24"/>
              </w:rPr>
              <w:t>iffusionsfähig und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haftfest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Nicht geeignet für nicht saugende Untergründe.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Inhaltsstoffe:</w:t>
            </w:r>
          </w:p>
        </w:tc>
        <w:tc>
          <w:tcPr>
            <w:tcW w:w="6486" w:type="dxa"/>
          </w:tcPr>
          <w:p w:rsidR="00A90340" w:rsidRDefault="00A90340" w:rsidP="00E761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Acryl</w:t>
            </w:r>
            <w:r w:rsidR="00E761E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E761E8">
              <w:rPr>
                <w:rFonts w:ascii="Arial" w:hAnsi="Arial" w:cs="Arial"/>
                <w:sz w:val="24"/>
                <w:szCs w:val="24"/>
              </w:rPr>
              <w:t>Hydrosol</w:t>
            </w:r>
            <w:proofErr w:type="spellEnd"/>
            <w:r w:rsidR="00452358">
              <w:rPr>
                <w:rFonts w:ascii="Arial" w:hAnsi="Arial" w:cs="Arial"/>
                <w:sz w:val="24"/>
                <w:szCs w:val="24"/>
              </w:rPr>
              <w:t>, Wasser und Additive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6" w:type="dxa"/>
          </w:tcPr>
          <w:p w:rsidR="00A90340" w:rsidRDefault="00E761E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Bläulich-transparent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6" w:type="dxa"/>
          </w:tcPr>
          <w:p w:rsidR="00452358" w:rsidRPr="00FD3AA0" w:rsidRDefault="00452358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L, 10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171035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1,03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C56E24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Kühl, aber vor Frost schützen. Die Lagerzeit beträgt ca. 1 Jahr </w:t>
            </w:r>
            <w:proofErr w:type="gramStart"/>
            <w:r w:rsidRPr="00FD3AA0">
              <w:rPr>
                <w:rFonts w:ascii="Arial" w:hAnsi="Arial" w:cs="Arial"/>
                <w:sz w:val="24"/>
                <w:szCs w:val="24"/>
              </w:rPr>
              <w:t>im</w:t>
            </w:r>
            <w:proofErr w:type="gramEnd"/>
            <w:r w:rsidRPr="00FD3AA0">
              <w:rPr>
                <w:rFonts w:ascii="Arial" w:hAnsi="Arial" w:cs="Arial"/>
                <w:sz w:val="24"/>
                <w:szCs w:val="24"/>
              </w:rPr>
              <w:t xml:space="preserve">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452358" w:rsidP="00CB2154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CB2154">
              <w:rPr>
                <w:rFonts w:ascii="Arial" w:hAnsi="Arial" w:cs="Arial"/>
                <w:sz w:val="24"/>
                <w:szCs w:val="24"/>
              </w:rPr>
              <w:t>150-200</w:t>
            </w:r>
            <w:r w:rsidRPr="00FD3AA0">
              <w:rPr>
                <w:rFonts w:ascii="Arial" w:hAnsi="Arial" w:cs="Arial"/>
                <w:sz w:val="24"/>
                <w:szCs w:val="24"/>
              </w:rPr>
              <w:t xml:space="preserve"> ml</w:t>
            </w:r>
            <w:r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Auftragsverfahren:</w:t>
            </w:r>
          </w:p>
        </w:tc>
        <w:tc>
          <w:tcPr>
            <w:tcW w:w="6519" w:type="dxa"/>
          </w:tcPr>
          <w:p w:rsidR="00A90340" w:rsidRDefault="00452358" w:rsidP="00CB21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Dachgrund LF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, kann mit einer Tiefgrundbürste, im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Airlessverfahren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 oder mit</w:t>
            </w:r>
            <w:r w:rsidR="006879BC">
              <w:rPr>
                <w:rFonts w:ascii="Arial" w:hAnsi="Arial" w:cs="Arial"/>
                <w:sz w:val="24"/>
                <w:szCs w:val="24"/>
              </w:rPr>
              <w:t xml:space="preserve"> einem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Drucksprühgerät aufgetragen werden.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Airless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: Düsengröße 0,011 – 0,013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inch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>, 50° Spri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zwinkel, 150 bar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A90340" w:rsidRDefault="006879BC" w:rsidP="00CB21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BC">
              <w:rPr>
                <w:rFonts w:ascii="Arial" w:hAnsi="Arial" w:cs="Arial"/>
                <w:sz w:val="24"/>
                <w:szCs w:val="24"/>
              </w:rPr>
              <w:t>Dachflächen von organischen Bestandteilen wie Pilzen, Algen oder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9BC">
              <w:rPr>
                <w:rFonts w:ascii="Arial" w:hAnsi="Arial" w:cs="Arial"/>
                <w:sz w:val="24"/>
                <w:szCs w:val="24"/>
              </w:rPr>
              <w:t>Moosbewuchs und so</w:t>
            </w:r>
            <w:r>
              <w:rPr>
                <w:rFonts w:ascii="Arial" w:hAnsi="Arial" w:cs="Arial"/>
                <w:sz w:val="24"/>
                <w:szCs w:val="24"/>
              </w:rPr>
              <w:t>nstigen Verunreinigungen durch</w:t>
            </w:r>
            <w:r w:rsidR="00CB2154">
              <w:rPr>
                <w:rFonts w:ascii="Arial" w:hAnsi="Arial" w:cs="Arial"/>
                <w:sz w:val="24"/>
                <w:szCs w:val="24"/>
              </w:rPr>
              <w:t xml:space="preserve"> Nassstrahlen</w:t>
            </w:r>
            <w:r w:rsidRPr="006879BC">
              <w:rPr>
                <w:rFonts w:ascii="Arial" w:hAnsi="Arial" w:cs="Arial"/>
                <w:sz w:val="24"/>
                <w:szCs w:val="24"/>
              </w:rPr>
              <w:t xml:space="preserve"> mit Wasser vollständig säubern. Die Auftragsmenge sollte, je nach Untergrund, so gewählt werden, dass die Grundierung vollständig aufgenommen werden kann und nach der Trocknung keinen glänzenden Film bildet. Schwac</w:t>
            </w:r>
            <w:r w:rsidR="00CB2154">
              <w:rPr>
                <w:rFonts w:ascii="Arial" w:hAnsi="Arial" w:cs="Arial"/>
                <w:sz w:val="24"/>
                <w:szCs w:val="24"/>
              </w:rPr>
              <w:t>h saugende Untergründe z.B. Ton oder</w:t>
            </w:r>
            <w:r w:rsidRPr="006879BC">
              <w:rPr>
                <w:rFonts w:ascii="Arial" w:hAnsi="Arial" w:cs="Arial"/>
                <w:sz w:val="24"/>
                <w:szCs w:val="24"/>
              </w:rPr>
              <w:t xml:space="preserve"> Faserzementplatten sind dabei nur dünn zu grundieren. Bei stark saugenden Untergründen, bei denen lediglich die Saugfähigkeit reduziert werden soll, kann der Dachgrund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LF </w:t>
            </w:r>
            <w:r w:rsidRPr="006879BC">
              <w:rPr>
                <w:rFonts w:ascii="Arial" w:hAnsi="Arial" w:cs="Arial"/>
                <w:sz w:val="24"/>
                <w:szCs w:val="24"/>
              </w:rPr>
              <w:t>bis 1:1 mit Wasser verdünnt werden. Für nichtsaugende Untergründe ist der Dach</w:t>
            </w:r>
            <w:r>
              <w:rPr>
                <w:rFonts w:ascii="Arial" w:hAnsi="Arial" w:cs="Arial"/>
                <w:sz w:val="24"/>
                <w:szCs w:val="24"/>
              </w:rPr>
              <w:t>grund LF</w:t>
            </w:r>
            <w:r w:rsidRPr="006879BC">
              <w:rPr>
                <w:rFonts w:ascii="Arial" w:hAnsi="Arial" w:cs="Arial"/>
                <w:sz w:val="24"/>
                <w:szCs w:val="24"/>
              </w:rPr>
              <w:t xml:space="preserve"> nicht geeignet. Hinweis: Nicht zu behandelnde Bauteile vor Spritzern –z.B. durch Abdecken – schützen, da eingetrockneter Dachgrund nur schwer entfernbar ist.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Anschließend kann nach Trocknung die Dachbeschichtung aufgetragen werden.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Mindestens + 5° </w:t>
            </w:r>
            <w:proofErr w:type="gramStart"/>
            <w:r w:rsidRPr="00FD3AA0">
              <w:rPr>
                <w:rFonts w:ascii="Arial" w:hAnsi="Arial" w:cs="Arial"/>
                <w:sz w:val="24"/>
                <w:szCs w:val="24"/>
              </w:rPr>
              <w:t>C ,</w:t>
            </w:r>
            <w:proofErr w:type="gramEnd"/>
            <w:r w:rsidRPr="00FD3AA0">
              <w:rPr>
                <w:rFonts w:ascii="Arial" w:hAnsi="Arial" w:cs="Arial"/>
                <w:sz w:val="24"/>
                <w:szCs w:val="24"/>
              </w:rPr>
              <w:t xml:space="preserve"> nicht bei Nebel, Frostgefahr, Regen und mehr als 80 % rel. Luftfeuchte auftragen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3 - 5 Stunden oberflächentrocken und </w:t>
            </w:r>
            <w:proofErr w:type="spellStart"/>
            <w:r w:rsidRPr="00FD3AA0">
              <w:rPr>
                <w:rFonts w:ascii="Arial" w:hAnsi="Arial" w:cs="Arial"/>
                <w:sz w:val="24"/>
                <w:szCs w:val="24"/>
              </w:rPr>
              <w:t>überarbeitbar</w:t>
            </w:r>
            <w:proofErr w:type="spellEnd"/>
            <w:r w:rsidRPr="00FD3AA0">
              <w:rPr>
                <w:rFonts w:ascii="Arial" w:hAnsi="Arial" w:cs="Arial"/>
                <w:sz w:val="24"/>
                <w:szCs w:val="24"/>
              </w:rPr>
              <w:t>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191247">
              <w:rPr>
                <w:rFonts w:ascii="Arial" w:hAnsi="Arial" w:cs="Arial"/>
                <w:sz w:val="24"/>
                <w:szCs w:val="24"/>
              </w:rPr>
              <w:t>gemäß Europäischer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M-GF01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</w:t>
      </w:r>
      <w:proofErr w:type="spellStart"/>
      <w:r w:rsidRPr="00F70231">
        <w:rPr>
          <w:sz w:val="20"/>
          <w:szCs w:val="20"/>
        </w:rPr>
        <w:t>Emalux</w:t>
      </w:r>
      <w:proofErr w:type="spellEnd"/>
      <w:r w:rsidRPr="00F70231">
        <w:rPr>
          <w:sz w:val="20"/>
          <w:szCs w:val="20"/>
        </w:rPr>
        <w:t xml:space="preserve">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54" w:rsidRDefault="00CB2154" w:rsidP="00525E4C">
      <w:r>
        <w:separator/>
      </w:r>
    </w:p>
  </w:endnote>
  <w:endnote w:type="continuationSeparator" w:id="1">
    <w:p w:rsidR="00CB2154" w:rsidRDefault="00CB2154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CB2154" w:rsidRDefault="00757DDC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CB2154" w:rsidRDefault="00757DDC">
                    <w:pPr>
                      <w:jc w:val="center"/>
                    </w:pPr>
                    <w:fldSimple w:instr=" PAGE    \* MERGEFORMAT ">
                      <w:r w:rsidR="006B207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CB2154">
          <w:br/>
        </w:r>
        <w:r w:rsidR="00CB2154">
          <w:br/>
        </w:r>
        <w:proofErr w:type="spellStart"/>
        <w:r w:rsidR="00CB2154">
          <w:t>Emalux</w:t>
        </w:r>
        <w:proofErr w:type="spellEnd"/>
        <w:r w:rsidR="00CB2154">
          <w:t xml:space="preserve">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54" w:rsidRDefault="00CB2154" w:rsidP="00525E4C">
      <w:r>
        <w:separator/>
      </w:r>
    </w:p>
  </w:footnote>
  <w:footnote w:type="continuationSeparator" w:id="1">
    <w:p w:rsidR="00CB2154" w:rsidRDefault="00CB2154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154" w:rsidRPr="00525E4C" w:rsidRDefault="00CB2154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DC" w:rsidRPr="00757DDC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proofErr w:type="spellStart"/>
    <w:r w:rsidRPr="00FD3AA0">
      <w:rPr>
        <w:rFonts w:ascii="Arial" w:hAnsi="Arial" w:cs="Arial"/>
        <w:b/>
        <w:sz w:val="32"/>
        <w:szCs w:val="32"/>
      </w:rPr>
      <w:t>Emalux</w:t>
    </w:r>
    <w:proofErr w:type="spellEnd"/>
    <w:r w:rsidRPr="00FD3AA0">
      <w:rPr>
        <w:rFonts w:ascii="Arial" w:hAnsi="Arial" w:cs="Arial"/>
        <w:b/>
        <w:sz w:val="32"/>
        <w:szCs w:val="32"/>
      </w:rPr>
      <w:t xml:space="preserve"> Dachgrund LF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>
      <w:rPr>
        <w:rFonts w:ascii="Arial" w:hAnsi="Arial" w:cs="Arial"/>
        <w:sz w:val="20"/>
        <w:szCs w:val="20"/>
      </w:rPr>
      <w:t>Jan-09</w:t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11B41"/>
    <w:rsid w:val="000177D9"/>
    <w:rsid w:val="00171035"/>
    <w:rsid w:val="00191247"/>
    <w:rsid w:val="001D3382"/>
    <w:rsid w:val="00386F2D"/>
    <w:rsid w:val="00425D6F"/>
    <w:rsid w:val="00452358"/>
    <w:rsid w:val="00525E4C"/>
    <w:rsid w:val="005B5A16"/>
    <w:rsid w:val="006879BC"/>
    <w:rsid w:val="006B2071"/>
    <w:rsid w:val="00740B80"/>
    <w:rsid w:val="00757DDC"/>
    <w:rsid w:val="008F3D8F"/>
    <w:rsid w:val="009D0DB3"/>
    <w:rsid w:val="009D209C"/>
    <w:rsid w:val="00A90340"/>
    <w:rsid w:val="00C4030C"/>
    <w:rsid w:val="00C56E24"/>
    <w:rsid w:val="00C87265"/>
    <w:rsid w:val="00CB2154"/>
    <w:rsid w:val="00CC2EEC"/>
    <w:rsid w:val="00CD33A0"/>
    <w:rsid w:val="00D652A0"/>
    <w:rsid w:val="00DD2C34"/>
    <w:rsid w:val="00E761E8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Oliver Janetzki</cp:lastModifiedBy>
  <cp:revision>9</cp:revision>
  <cp:lastPrinted>2010-01-07T14:42:00Z</cp:lastPrinted>
  <dcterms:created xsi:type="dcterms:W3CDTF">2010-01-07T11:27:00Z</dcterms:created>
  <dcterms:modified xsi:type="dcterms:W3CDTF">2010-01-20T08:41:00Z</dcterms:modified>
</cp:coreProperties>
</file>