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484"/>
      </w:tblGrid>
      <w:tr w:rsidR="00A90340" w:rsidTr="00A90340">
        <w:tc>
          <w:tcPr>
            <w:tcW w:w="9288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I.Werkstoffbeschreibung</w:t>
            </w:r>
          </w:p>
        </w:tc>
      </w:tr>
      <w:tr w:rsidR="00A90340" w:rsidTr="00A90340">
        <w:tc>
          <w:tcPr>
            <w:tcW w:w="9288" w:type="dxa"/>
            <w:gridSpan w:val="2"/>
          </w:tcPr>
          <w:p w:rsidR="00A90340" w:rsidRPr="005B5A16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Produktname:</w:t>
            </w:r>
          </w:p>
        </w:tc>
        <w:tc>
          <w:tcPr>
            <w:tcW w:w="6486" w:type="dxa"/>
          </w:tcPr>
          <w:p w:rsidR="00A90340" w:rsidRDefault="00572834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Hydrosol Tiefgrund LMF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Eigenschaften:</w:t>
            </w:r>
          </w:p>
        </w:tc>
        <w:tc>
          <w:tcPr>
            <w:tcW w:w="6486" w:type="dxa"/>
          </w:tcPr>
          <w:p w:rsidR="00A90340" w:rsidRPr="00572834" w:rsidRDefault="00572834" w:rsidP="0057283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72834">
              <w:rPr>
                <w:rFonts w:ascii="Arial" w:hAnsi="Arial" w:cs="Arial"/>
                <w:sz w:val="24"/>
                <w:szCs w:val="24"/>
              </w:rPr>
              <w:t>Lösemittelfreie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5728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572834">
              <w:rPr>
                <w:rFonts w:ascii="Arial" w:hAnsi="Arial" w:cs="Arial"/>
                <w:sz w:val="24"/>
                <w:szCs w:val="24"/>
              </w:rPr>
              <w:t>asserverdünnbare</w:t>
            </w:r>
            <w:proofErr w:type="spellEnd"/>
            <w:r w:rsidRPr="0057283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572834">
              <w:rPr>
                <w:rFonts w:ascii="Arial" w:hAnsi="Arial" w:cs="Arial"/>
                <w:sz w:val="24"/>
                <w:szCs w:val="24"/>
              </w:rPr>
              <w:t>Acrylat</w:t>
            </w:r>
            <w:proofErr w:type="spellEnd"/>
            <w:r w:rsidRPr="00572834">
              <w:rPr>
                <w:rFonts w:ascii="Arial" w:hAnsi="Arial" w:cs="Arial"/>
                <w:sz w:val="24"/>
                <w:szCs w:val="24"/>
              </w:rPr>
              <w:t xml:space="preserve"> Grundierung für Innen und Außen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5728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Grundiermittel für</w:t>
            </w:r>
            <w:r w:rsidRPr="005728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egalisierende Grundb</w:t>
            </w:r>
            <w:r w:rsidRPr="00572834">
              <w:rPr>
                <w:rFonts w:ascii="Arial" w:hAnsi="Arial" w:cs="Arial"/>
                <w:sz w:val="24"/>
                <w:szCs w:val="24"/>
              </w:rPr>
              <w:t>eschichtung</w:t>
            </w:r>
            <w:r>
              <w:rPr>
                <w:rFonts w:ascii="Arial" w:hAnsi="Arial" w:cs="Arial"/>
                <w:sz w:val="24"/>
                <w:szCs w:val="24"/>
              </w:rPr>
              <w:t>en</w:t>
            </w:r>
            <w:r w:rsidRPr="00572834">
              <w:rPr>
                <w:rFonts w:ascii="Arial" w:hAnsi="Arial" w:cs="Arial"/>
                <w:sz w:val="24"/>
                <w:szCs w:val="24"/>
              </w:rPr>
              <w:t xml:space="preserve"> von mineralischen Untergründen wie Kalk-, Zement- und </w:t>
            </w:r>
            <w:proofErr w:type="spellStart"/>
            <w:r w:rsidRPr="00572834">
              <w:rPr>
                <w:rFonts w:ascii="Arial" w:hAnsi="Arial" w:cs="Arial"/>
                <w:sz w:val="24"/>
                <w:szCs w:val="24"/>
              </w:rPr>
              <w:t>Gipsputz</w:t>
            </w:r>
            <w:proofErr w:type="spellEnd"/>
            <w:r w:rsidRPr="00572834">
              <w:rPr>
                <w:rFonts w:ascii="Arial" w:hAnsi="Arial" w:cs="Arial"/>
                <w:sz w:val="24"/>
                <w:szCs w:val="24"/>
              </w:rPr>
              <w:t xml:space="preserve">, Kalksandstein, Beton, </w:t>
            </w:r>
            <w:proofErr w:type="spellStart"/>
            <w:r w:rsidRPr="00572834">
              <w:rPr>
                <w:rFonts w:ascii="Arial" w:hAnsi="Arial" w:cs="Arial"/>
                <w:sz w:val="24"/>
                <w:szCs w:val="24"/>
              </w:rPr>
              <w:t>Gasbeton</w:t>
            </w:r>
            <w:proofErr w:type="spellEnd"/>
            <w:r w:rsidRPr="00572834">
              <w:rPr>
                <w:rFonts w:ascii="Arial" w:hAnsi="Arial" w:cs="Arial"/>
                <w:sz w:val="24"/>
                <w:szCs w:val="24"/>
              </w:rPr>
              <w:t xml:space="preserve">, Ziegel und Gipskartonplatten </w:t>
            </w:r>
            <w:proofErr w:type="spellStart"/>
            <w:r w:rsidRPr="00572834">
              <w:rPr>
                <w:rFonts w:ascii="Arial" w:hAnsi="Arial" w:cs="Arial"/>
                <w:sz w:val="24"/>
                <w:szCs w:val="24"/>
              </w:rPr>
              <w:t>u.ä.</w:t>
            </w:r>
            <w:proofErr w:type="spellEnd"/>
            <w:r w:rsidRPr="00572834">
              <w:rPr>
                <w:rFonts w:ascii="Arial" w:hAnsi="Arial" w:cs="Arial"/>
                <w:sz w:val="24"/>
                <w:szCs w:val="24"/>
              </w:rPr>
              <w:t xml:space="preserve"> Gebrauchsfertig eingestellte, feindisperse Kunstharzdispersion mit extrem guter Tiefenwirkung. Einsatz auch in Räumen unzureichender Belüftung und in denen Lebensmittel gelagert werden</w:t>
            </w:r>
            <w:r w:rsidR="00452358" w:rsidRPr="00572834">
              <w:rPr>
                <w:rFonts w:ascii="Arial" w:hAnsi="Arial" w:cs="Arial"/>
                <w:sz w:val="24"/>
                <w:szCs w:val="24"/>
              </w:rPr>
              <w:t>.</w:t>
            </w:r>
            <w:r w:rsidR="00740B80" w:rsidRPr="00572834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Inhaltsstoffe:</w:t>
            </w:r>
          </w:p>
        </w:tc>
        <w:tc>
          <w:tcPr>
            <w:tcW w:w="6486" w:type="dxa"/>
          </w:tcPr>
          <w:p w:rsidR="00A90340" w:rsidRDefault="00A90340" w:rsidP="00E761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Acryl</w:t>
            </w:r>
            <w:r w:rsidR="00E761E8">
              <w:rPr>
                <w:rFonts w:ascii="Arial" w:hAnsi="Arial" w:cs="Arial"/>
                <w:sz w:val="24"/>
                <w:szCs w:val="24"/>
              </w:rPr>
              <w:t>-Hydrosol</w:t>
            </w:r>
            <w:r w:rsidR="00452358">
              <w:rPr>
                <w:rFonts w:ascii="Arial" w:hAnsi="Arial" w:cs="Arial"/>
                <w:sz w:val="24"/>
                <w:szCs w:val="24"/>
              </w:rPr>
              <w:t>, Wasser und Additive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Farbton:</w:t>
            </w:r>
          </w:p>
        </w:tc>
        <w:tc>
          <w:tcPr>
            <w:tcW w:w="6486" w:type="dxa"/>
          </w:tcPr>
          <w:p w:rsidR="00A90340" w:rsidRDefault="00E761E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Bläulich-transparent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Verpackungsgrößen:</w:t>
            </w:r>
          </w:p>
        </w:tc>
        <w:tc>
          <w:tcPr>
            <w:tcW w:w="6486" w:type="dxa"/>
          </w:tcPr>
          <w:p w:rsidR="00452358" w:rsidRPr="00FD3AA0" w:rsidRDefault="00572834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L, 2,5 L, </w:t>
            </w:r>
            <w:r w:rsidR="00452358">
              <w:rPr>
                <w:rFonts w:ascii="Arial" w:hAnsi="Arial" w:cs="Arial"/>
                <w:sz w:val="24"/>
                <w:szCs w:val="24"/>
              </w:rPr>
              <w:t>5 L, 10 L</w:t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A9034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II. Technische Daten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2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Dichte:</w:t>
            </w:r>
          </w:p>
        </w:tc>
        <w:tc>
          <w:tcPr>
            <w:tcW w:w="6520" w:type="dxa"/>
          </w:tcPr>
          <w:p w:rsidR="00A90340" w:rsidRDefault="00E761E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1,02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g/</w:t>
            </w:r>
            <w:r w:rsidR="002E14D1">
              <w:rPr>
                <w:rFonts w:ascii="Arial" w:hAnsi="Arial" w:cs="Arial"/>
                <w:sz w:val="24"/>
                <w:szCs w:val="24"/>
              </w:rPr>
              <w:t>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m³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2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Lagerung:</w:t>
            </w:r>
          </w:p>
        </w:tc>
        <w:tc>
          <w:tcPr>
            <w:tcW w:w="6520" w:type="dxa"/>
          </w:tcPr>
          <w:p w:rsidR="00A90340" w:rsidRDefault="00A127F4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Kühl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aber vor Frost schützen. Die Lagerzeit beträgt ca. 1 Jahr im ungeöffneten Gebinde. Anbruchgebinde dicht verschlossen halten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452358" w:rsidTr="00A90340">
        <w:tc>
          <w:tcPr>
            <w:tcW w:w="2802" w:type="dxa"/>
          </w:tcPr>
          <w:p w:rsidR="00452358" w:rsidRPr="00FD3AA0" w:rsidRDefault="00452358" w:rsidP="0045235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Verbrauch:</w:t>
            </w:r>
          </w:p>
        </w:tc>
        <w:tc>
          <w:tcPr>
            <w:tcW w:w="6520" w:type="dxa"/>
          </w:tcPr>
          <w:p w:rsidR="00452358" w:rsidRPr="00FD3AA0" w:rsidRDefault="001A2E77" w:rsidP="00452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Ca. 150-20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>0 ml</w:t>
            </w:r>
            <w:r w:rsidR="00452358">
              <w:rPr>
                <w:rFonts w:ascii="Arial" w:hAnsi="Arial" w:cs="Arial"/>
                <w:sz w:val="24"/>
                <w:szCs w:val="24"/>
              </w:rPr>
              <w:t>/m² pro Arbeitsgang</w:t>
            </w:r>
            <w:r w:rsidR="00452358" w:rsidRPr="00FD3AA0">
              <w:rPr>
                <w:rFonts w:ascii="Arial" w:hAnsi="Arial" w:cs="Arial"/>
                <w:sz w:val="24"/>
                <w:szCs w:val="24"/>
              </w:rPr>
              <w:t xml:space="preserve"> ggf. durch Probeauftrag ermitteln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45235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5B5A16" w:rsidRDefault="005B5A16" w:rsidP="00FD3AA0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3"/>
        <w:gridCol w:w="6519"/>
      </w:tblGrid>
      <w:tr w:rsidR="00A90340" w:rsidTr="00A9034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B5A16">
              <w:rPr>
                <w:rFonts w:ascii="Arial" w:hAnsi="Arial" w:cs="Arial"/>
                <w:b/>
                <w:sz w:val="24"/>
                <w:szCs w:val="24"/>
              </w:rPr>
              <w:t>III. Verarbeitungshinweise</w:t>
            </w:r>
          </w:p>
        </w:tc>
      </w:tr>
      <w:tr w:rsidR="00A90340" w:rsidTr="00A90340">
        <w:tc>
          <w:tcPr>
            <w:tcW w:w="9322" w:type="dxa"/>
            <w:gridSpan w:val="2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0340" w:rsidTr="00A90340">
        <w:tc>
          <w:tcPr>
            <w:tcW w:w="2803" w:type="dxa"/>
          </w:tcPr>
          <w:p w:rsidR="00A90340" w:rsidRDefault="00A90340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Untergründe:</w:t>
            </w:r>
          </w:p>
        </w:tc>
        <w:tc>
          <w:tcPr>
            <w:tcW w:w="6519" w:type="dxa"/>
          </w:tcPr>
          <w:p w:rsidR="00A90340" w:rsidRDefault="00452358" w:rsidP="00A9034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 Untergrund muss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trocken, sauber, frei von Trennmitteln und tragfähig sein. Nicht intakte Beschichtungen restlos entfernen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Auftragsverfahren:</w:t>
            </w:r>
          </w:p>
        </w:tc>
        <w:tc>
          <w:tcPr>
            <w:tcW w:w="6519" w:type="dxa"/>
          </w:tcPr>
          <w:p w:rsidR="00A90340" w:rsidRDefault="00264DDD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Hydrosol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CB8">
              <w:rPr>
                <w:rFonts w:ascii="Arial" w:hAnsi="Arial" w:cs="Arial"/>
                <w:sz w:val="24"/>
                <w:szCs w:val="24"/>
              </w:rPr>
              <w:t xml:space="preserve">Tiefgrund </w:t>
            </w:r>
            <w:r w:rsidR="00452358">
              <w:rPr>
                <w:rFonts w:ascii="Arial" w:hAnsi="Arial" w:cs="Arial"/>
                <w:sz w:val="24"/>
                <w:szCs w:val="24"/>
              </w:rPr>
              <w:t>L</w:t>
            </w:r>
            <w:r w:rsidR="009D0CB8">
              <w:rPr>
                <w:rFonts w:ascii="Arial" w:hAnsi="Arial" w:cs="Arial"/>
                <w:sz w:val="24"/>
                <w:szCs w:val="24"/>
              </w:rPr>
              <w:t>M</w:t>
            </w:r>
            <w:r w:rsidR="00452358">
              <w:rPr>
                <w:rFonts w:ascii="Arial" w:hAnsi="Arial" w:cs="Arial"/>
                <w:sz w:val="24"/>
                <w:szCs w:val="24"/>
              </w:rPr>
              <w:t>F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, kann mit einer Tiefgrundbürste, im </w:t>
            </w:r>
            <w:proofErr w:type="spellStart"/>
            <w:r w:rsidR="00A90340" w:rsidRPr="00FD3AA0">
              <w:rPr>
                <w:rFonts w:ascii="Arial" w:hAnsi="Arial" w:cs="Arial"/>
                <w:sz w:val="24"/>
                <w:szCs w:val="24"/>
              </w:rPr>
              <w:t>Airlessverfahren</w:t>
            </w:r>
            <w:proofErr w:type="spellEnd"/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 oder mit </w:t>
            </w:r>
            <w:r w:rsidR="00A127F4">
              <w:rPr>
                <w:rFonts w:ascii="Arial" w:hAnsi="Arial" w:cs="Arial"/>
                <w:sz w:val="24"/>
                <w:szCs w:val="24"/>
              </w:rPr>
              <w:t xml:space="preserve">einem 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Drucksprühgerät aufgetragen werden. </w:t>
            </w:r>
            <w:proofErr w:type="spellStart"/>
            <w:r w:rsidR="00A90340" w:rsidRPr="00FD3AA0">
              <w:rPr>
                <w:rFonts w:ascii="Arial" w:hAnsi="Arial" w:cs="Arial"/>
                <w:sz w:val="24"/>
                <w:szCs w:val="24"/>
              </w:rPr>
              <w:t>Airless</w:t>
            </w:r>
            <w:proofErr w:type="spellEnd"/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: Düsengröße 0,011 – 0,013 </w:t>
            </w:r>
            <w:r w:rsidR="001A2E77" w:rsidRPr="00FD3AA0">
              <w:rPr>
                <w:rFonts w:ascii="Arial" w:hAnsi="Arial" w:cs="Arial"/>
                <w:sz w:val="24"/>
                <w:szCs w:val="24"/>
              </w:rPr>
              <w:t>Inch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, 50° Spri</w:t>
            </w:r>
            <w:r w:rsidR="00452358">
              <w:rPr>
                <w:rFonts w:ascii="Arial" w:hAnsi="Arial" w:cs="Arial"/>
                <w:sz w:val="24"/>
                <w:szCs w:val="24"/>
              </w:rPr>
              <w:t>t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zwinkel, 150 bar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Beschichtungsaufbau:</w:t>
            </w:r>
          </w:p>
        </w:tc>
        <w:tc>
          <w:tcPr>
            <w:tcW w:w="6519" w:type="dxa"/>
          </w:tcPr>
          <w:p w:rsidR="00A90340" w:rsidRDefault="00264DDD" w:rsidP="009D0C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Hydrosol</w:t>
            </w:r>
            <w:r w:rsidR="009D0CB8">
              <w:rPr>
                <w:rFonts w:ascii="Arial" w:hAnsi="Arial" w:cs="Arial"/>
                <w:sz w:val="24"/>
                <w:szCs w:val="24"/>
              </w:rPr>
              <w:t xml:space="preserve"> Tiefgrund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L</w:t>
            </w:r>
            <w:r w:rsidR="009D0CB8">
              <w:rPr>
                <w:rFonts w:ascii="Arial" w:hAnsi="Arial" w:cs="Arial"/>
                <w:sz w:val="24"/>
                <w:szCs w:val="24"/>
              </w:rPr>
              <w:t>M</w:t>
            </w:r>
            <w:r w:rsidR="00452358">
              <w:rPr>
                <w:rFonts w:ascii="Arial" w:hAnsi="Arial" w:cs="Arial"/>
                <w:sz w:val="24"/>
                <w:szCs w:val="24"/>
              </w:rPr>
              <w:t>F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auf </w:t>
            </w:r>
            <w:r w:rsidR="009D0CB8">
              <w:rPr>
                <w:rFonts w:ascii="Arial" w:hAnsi="Arial" w:cs="Arial"/>
                <w:sz w:val="24"/>
                <w:szCs w:val="24"/>
              </w:rPr>
              <w:t>normal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 saugenden Unterg</w:t>
            </w:r>
            <w:r w:rsidR="00452358">
              <w:rPr>
                <w:rFonts w:ascii="Arial" w:hAnsi="Arial" w:cs="Arial"/>
                <w:sz w:val="24"/>
                <w:szCs w:val="24"/>
              </w:rPr>
              <w:t>r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ünden</w:t>
            </w:r>
            <w:r w:rsidR="009D0CB8">
              <w:rPr>
                <w:rFonts w:ascii="Arial" w:hAnsi="Arial" w:cs="Arial"/>
                <w:sz w:val="24"/>
                <w:szCs w:val="24"/>
              </w:rPr>
              <w:t xml:space="preserve"> 1-mal satt</w:t>
            </w:r>
            <w:r w:rsidR="0045235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 xml:space="preserve">auftragen. </w:t>
            </w:r>
            <w:r w:rsidR="009D0CB8">
              <w:rPr>
                <w:rFonts w:ascii="Arial" w:hAnsi="Arial" w:cs="Arial"/>
                <w:sz w:val="24"/>
                <w:szCs w:val="24"/>
              </w:rPr>
              <w:t>Auf stark saugende</w:t>
            </w:r>
            <w:r w:rsidR="003B0CB5">
              <w:rPr>
                <w:rFonts w:ascii="Arial" w:hAnsi="Arial" w:cs="Arial"/>
                <w:sz w:val="24"/>
                <w:szCs w:val="24"/>
              </w:rPr>
              <w:t xml:space="preserve">n Untergründen einmal </w:t>
            </w:r>
            <w:r w:rsidR="009D0CB8">
              <w:rPr>
                <w:rFonts w:ascii="Arial" w:hAnsi="Arial" w:cs="Arial"/>
                <w:sz w:val="24"/>
                <w:szCs w:val="24"/>
              </w:rPr>
              <w:t>verdünnt, jedoch satt auftragen</w:t>
            </w:r>
            <w:r w:rsidR="001A2E77">
              <w:rPr>
                <w:rFonts w:ascii="Arial" w:hAnsi="Arial" w:cs="Arial"/>
                <w:sz w:val="24"/>
                <w:szCs w:val="24"/>
              </w:rPr>
              <w:t>.</w:t>
            </w:r>
            <w:r w:rsidR="009D0CB8">
              <w:rPr>
                <w:rFonts w:ascii="Arial" w:hAnsi="Arial" w:cs="Arial"/>
                <w:sz w:val="24"/>
                <w:szCs w:val="24"/>
              </w:rPr>
              <w:t xml:space="preserve"> Glanzstellen vermeiden!</w:t>
            </w:r>
            <w:r w:rsidR="009D0CB8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lastRenderedPageBreak/>
              <w:t>Werkzeugreinigung: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Arbeitsgeräte sofort nach dem Gebrauch mit Wasser reinigen.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Temperaturgrenzen bei der Verarbeitung:</w:t>
            </w:r>
          </w:p>
        </w:tc>
        <w:tc>
          <w:tcPr>
            <w:tcW w:w="6519" w:type="dxa"/>
          </w:tcPr>
          <w:p w:rsidR="00A90340" w:rsidRPr="00FD3AA0" w:rsidRDefault="001A2E77" w:rsidP="00FD3AA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Mindestens + 5° C</w:t>
            </w:r>
            <w:r w:rsidR="00A90340" w:rsidRPr="00FD3AA0">
              <w:rPr>
                <w:rFonts w:ascii="Arial" w:hAnsi="Arial" w:cs="Arial"/>
                <w:sz w:val="24"/>
                <w:szCs w:val="24"/>
              </w:rPr>
              <w:t>, nicht bei Nebel, Frostgefahr, Regen und mehr als 80 % rel. Luftfeuchte auftragen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A90340" w:rsidTr="00A90340">
        <w:tc>
          <w:tcPr>
            <w:tcW w:w="2803" w:type="dxa"/>
          </w:tcPr>
          <w:p w:rsidR="00A90340" w:rsidRPr="00FD3AA0" w:rsidRDefault="00A90340" w:rsidP="00FD3A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Trockenzeit:</w:t>
            </w:r>
          </w:p>
        </w:tc>
        <w:tc>
          <w:tcPr>
            <w:tcW w:w="6519" w:type="dxa"/>
          </w:tcPr>
          <w:p w:rsidR="00A90340" w:rsidRPr="00FD3AA0" w:rsidRDefault="00A9034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Bei 20° C und 65 % rel. Luftfeuchte nach 3 - 5 Stunden oberflächentrocken und </w:t>
            </w:r>
            <w:proofErr w:type="spellStart"/>
            <w:r w:rsidRPr="00FD3AA0">
              <w:rPr>
                <w:rFonts w:ascii="Arial" w:hAnsi="Arial" w:cs="Arial"/>
                <w:sz w:val="24"/>
                <w:szCs w:val="24"/>
              </w:rPr>
              <w:t>überarbeitbar</w:t>
            </w:r>
            <w:proofErr w:type="spellEnd"/>
            <w:r w:rsidRPr="00FD3AA0">
              <w:rPr>
                <w:rFonts w:ascii="Arial" w:hAnsi="Arial" w:cs="Arial"/>
                <w:sz w:val="24"/>
                <w:szCs w:val="24"/>
              </w:rPr>
              <w:t>. Bei niedrigerer Temperatur und höherer Luftfeuchte ver</w:t>
            </w:r>
            <w:r w:rsidR="00452358">
              <w:rPr>
                <w:rFonts w:ascii="Arial" w:hAnsi="Arial" w:cs="Arial"/>
                <w:sz w:val="24"/>
                <w:szCs w:val="24"/>
              </w:rPr>
              <w:t>längern sich die Trock</w:t>
            </w:r>
            <w:r w:rsidRPr="00FD3AA0">
              <w:rPr>
                <w:rFonts w:ascii="Arial" w:hAnsi="Arial" w:cs="Arial"/>
                <w:sz w:val="24"/>
                <w:szCs w:val="24"/>
              </w:rPr>
              <w:t>nungszeiten</w:t>
            </w:r>
            <w:r w:rsidR="00F70231">
              <w:rPr>
                <w:rFonts w:ascii="Arial" w:hAnsi="Arial" w:cs="Arial"/>
                <w:sz w:val="24"/>
                <w:szCs w:val="24"/>
              </w:rPr>
              <w:t>.</w:t>
            </w:r>
            <w:r w:rsidR="00740B80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</w:tbl>
    <w:p w:rsidR="00C4030C" w:rsidRDefault="00C4030C" w:rsidP="00FD3AA0">
      <w:pPr>
        <w:rPr>
          <w:rFonts w:ascii="Arial" w:hAnsi="Arial" w:cs="Arial"/>
          <w:sz w:val="24"/>
          <w:szCs w:val="24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6520"/>
      </w:tblGrid>
      <w:tr w:rsidR="00740B80" w:rsidTr="00740B80">
        <w:tc>
          <w:tcPr>
            <w:tcW w:w="9322" w:type="dxa"/>
            <w:gridSpan w:val="2"/>
            <w:shd w:val="clear" w:color="auto" w:fill="D9D9D9" w:themeFill="background1" w:themeFillShade="D9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  <w:r w:rsidRPr="00CC2EEC">
              <w:rPr>
                <w:rFonts w:ascii="Arial" w:hAnsi="Arial" w:cs="Arial"/>
                <w:b/>
                <w:sz w:val="24"/>
                <w:szCs w:val="24"/>
              </w:rPr>
              <w:t>IV. Sonstige Hinweise</w:t>
            </w:r>
          </w:p>
        </w:tc>
      </w:tr>
      <w:tr w:rsidR="00740B80" w:rsidTr="00740B80">
        <w:tc>
          <w:tcPr>
            <w:tcW w:w="9322" w:type="dxa"/>
            <w:gridSpan w:val="2"/>
          </w:tcPr>
          <w:p w:rsidR="00740B80" w:rsidRDefault="00740B80" w:rsidP="00FD3AA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Entsorgung:</w:t>
            </w:r>
          </w:p>
        </w:tc>
        <w:tc>
          <w:tcPr>
            <w:tcW w:w="6520" w:type="dxa"/>
          </w:tcPr>
          <w:p w:rsidR="00740B80" w:rsidRDefault="00740B80" w:rsidP="00F702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 xml:space="preserve">Nur restentleerte Gebinde zum Recycling geben. Materialreste </w:t>
            </w:r>
            <w:r w:rsidR="00F70231">
              <w:rPr>
                <w:rFonts w:ascii="Arial" w:hAnsi="Arial" w:cs="Arial"/>
                <w:sz w:val="24"/>
                <w:szCs w:val="24"/>
              </w:rPr>
              <w:t>gemäß Europäischer Abfallkatalog entsorgen.</w:t>
            </w:r>
            <w:r w:rsidR="00F70231">
              <w:rPr>
                <w:rFonts w:ascii="Arial" w:hAnsi="Arial" w:cs="Arial"/>
                <w:sz w:val="24"/>
                <w:szCs w:val="24"/>
              </w:rPr>
              <w:br/>
            </w:r>
          </w:p>
        </w:tc>
      </w:tr>
      <w:tr w:rsidR="00740B80" w:rsidTr="00740B80">
        <w:tc>
          <w:tcPr>
            <w:tcW w:w="2802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b/>
                <w:sz w:val="24"/>
                <w:szCs w:val="24"/>
              </w:rPr>
              <w:t>Produkt-Code:</w:t>
            </w:r>
          </w:p>
        </w:tc>
        <w:tc>
          <w:tcPr>
            <w:tcW w:w="6520" w:type="dxa"/>
          </w:tcPr>
          <w:p w:rsidR="00740B80" w:rsidRDefault="00740B80" w:rsidP="00740B8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3AA0">
              <w:rPr>
                <w:rFonts w:ascii="Arial" w:hAnsi="Arial" w:cs="Arial"/>
                <w:sz w:val="24"/>
                <w:szCs w:val="24"/>
              </w:rPr>
              <w:t>M-GF01</w:t>
            </w:r>
          </w:p>
        </w:tc>
      </w:tr>
    </w:tbl>
    <w:p w:rsidR="00740B80" w:rsidRDefault="00740B80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E761E8" w:rsidRDefault="00E761E8" w:rsidP="00FD3AA0">
      <w:pPr>
        <w:rPr>
          <w:rFonts w:ascii="Arial" w:hAnsi="Arial" w:cs="Arial"/>
          <w:sz w:val="24"/>
          <w:szCs w:val="24"/>
        </w:rPr>
      </w:pPr>
    </w:p>
    <w:p w:rsidR="00F70231" w:rsidRPr="00F70231" w:rsidRDefault="00F70231" w:rsidP="00F70231">
      <w:pPr>
        <w:pStyle w:val="Textkrper2"/>
        <w:rPr>
          <w:sz w:val="20"/>
          <w:szCs w:val="20"/>
        </w:rPr>
      </w:pPr>
      <w:r w:rsidRPr="00F70231">
        <w:rPr>
          <w:sz w:val="20"/>
          <w:szCs w:val="20"/>
        </w:rPr>
        <w:t xml:space="preserve">Diese Emalux Information wurde nach dem neuesten Stand der Technik und unseren vorliegenden Erfahrungen zusammengestellt. Im Hinblick auf die Vielfalt der Untergründe und Objektbedingungen wird der Käufer/Anwender nicht von seiner Pflicht entbunden, unsere Werkstoffe in eigener Verantwortung auf ihre Eignung für den vorgesehenen Verwendungszweck unter den jeweiligen Objektbedingungen fach- und handwerksgerecht zu prüfen. Bei Erscheinen einer Neuauflage verliert diese Druckschrift ihre Gültigkeit. </w:t>
      </w:r>
    </w:p>
    <w:sectPr w:rsidR="00F70231" w:rsidRPr="00F70231" w:rsidSect="00E761E8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CB8" w:rsidRDefault="009D0CB8" w:rsidP="00525E4C">
      <w:r>
        <w:separator/>
      </w:r>
    </w:p>
  </w:endnote>
  <w:endnote w:type="continuationSeparator" w:id="1">
    <w:p w:rsidR="009D0CB8" w:rsidRDefault="009D0CB8" w:rsidP="00525E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5208"/>
      <w:docPartObj>
        <w:docPartGallery w:val="Page Numbers (Bottom of Page)"/>
        <w:docPartUnique/>
      </w:docPartObj>
    </w:sdtPr>
    <w:sdtContent>
      <w:p w:rsidR="009D0CB8" w:rsidRDefault="004E52F8" w:rsidP="00A90340">
        <w:pPr>
          <w:pStyle w:val="Fuzeile"/>
          <w:jc w:val="center"/>
        </w:pP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0" type="#_x0000_t32" style="position:absolute;left:0;text-align:left;margin-left:-6.7pt;margin-top:13.7pt;width:465.45pt;height:0;z-index:251661312;mso-position-horizontal-relative:margin;mso-position-vertical-relative:bottom-margin-area;mso-height-relative:bottom-margin-area;v-text-anchor:middle" o:connectortype="straight" strokecolor="black [3213]" strokeweight="1.5pt"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1" type="#_x0000_t185" style="position:absolute;left:0;text-align:left;margin-left:206.55pt;margin-top:4.45pt;width:42.95pt;height:18.8pt;z-index:251662336;mso-width-percent:100;mso-position-horizontal-relative:margin;mso-position-vertical-relative:bottom-margin-area;mso-width-percent:100;mso-width-relative:margin;mso-height-relative:bottom-margin-area;v-text-anchor:top" filled="t" fillcolor="white [3212]" strokecolor="black [3213]" strokeweight="1.5pt">
              <v:textbox style="mso-next-textbox:#_x0000_s2051" inset=",0,,0">
                <w:txbxContent>
                  <w:p w:rsidR="009D0CB8" w:rsidRDefault="004E52F8">
                    <w:pPr>
                      <w:jc w:val="center"/>
                    </w:pPr>
                    <w:fldSimple w:instr=" PAGE    \* MERGEFORMAT ">
                      <w:r w:rsidR="003B0CB5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 w:rsidR="009D0CB8">
          <w:br/>
        </w:r>
        <w:r w:rsidR="009D0CB8">
          <w:br/>
          <w:t>Emalux GmbH - Farbenfabrik - Werner-v.-Siemensstraße 6 - 28832 Achim - www.emalux.de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CB8" w:rsidRDefault="009D0CB8" w:rsidP="00525E4C">
      <w:r>
        <w:separator/>
      </w:r>
    </w:p>
  </w:footnote>
  <w:footnote w:type="continuationSeparator" w:id="1">
    <w:p w:rsidR="009D0CB8" w:rsidRDefault="009D0CB8" w:rsidP="00525E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B8" w:rsidRPr="00525E4C" w:rsidRDefault="009D0CB8">
    <w:pPr>
      <w:pStyle w:val="Kopfzeile"/>
      <w:rPr>
        <w:rFonts w:ascii="Arial" w:hAnsi="Arial" w:cs="Arial"/>
        <w:sz w:val="20"/>
        <w:szCs w:val="20"/>
      </w:rPr>
    </w:pPr>
    <w:r w:rsidRPr="00E761E8">
      <w:rPr>
        <w:rFonts w:ascii="Arial" w:hAnsi="Arial" w:cs="Arial"/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4871085</wp:posOffset>
          </wp:positionH>
          <wp:positionV relativeFrom="page">
            <wp:posOffset>180975</wp:posOffset>
          </wp:positionV>
          <wp:extent cx="1908810" cy="823595"/>
          <wp:effectExtent l="19050" t="0" r="0" b="0"/>
          <wp:wrapTight wrapText="bothSides">
            <wp:wrapPolygon edited="0">
              <wp:start x="-216" y="0"/>
              <wp:lineTo x="-216" y="20984"/>
              <wp:lineTo x="21557" y="20984"/>
              <wp:lineTo x="21557" y="0"/>
              <wp:lineTo x="-216" y="0"/>
            </wp:wrapPolygon>
          </wp:wrapTight>
          <wp:docPr id="2" name="Grafik 1" descr="Emalux-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alux-4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8810" cy="823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52F8" w:rsidRPr="004E52F8">
      <w:rPr>
        <w:rFonts w:ascii="Arial" w:hAnsi="Arial" w:cs="Arial"/>
        <w:b/>
        <w:noProof/>
        <w:sz w:val="36"/>
        <w:szCs w:val="36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6.7pt;margin-top:53.7pt;width:465.5pt;height:.05pt;z-index:251659264;mso-position-horizontal-relative:text;mso-position-vertical-relative:text" o:connectortype="straight" strokeweight="1.5pt"/>
      </w:pict>
    </w:r>
    <w:r w:rsidRPr="00E761E8">
      <w:rPr>
        <w:rFonts w:ascii="Arial" w:hAnsi="Arial" w:cs="Arial"/>
        <w:b/>
        <w:sz w:val="36"/>
        <w:szCs w:val="36"/>
      </w:rPr>
      <w:t>Technisches Merkblatt</w:t>
    </w:r>
    <w:r w:rsidRPr="00FD3AA0">
      <w:rPr>
        <w:rFonts w:ascii="Arial" w:hAnsi="Arial" w:cs="Arial"/>
        <w:b/>
        <w:sz w:val="32"/>
        <w:szCs w:val="32"/>
      </w:rPr>
      <w:br/>
    </w:r>
    <w:r>
      <w:rPr>
        <w:rFonts w:ascii="Arial" w:hAnsi="Arial" w:cs="Arial"/>
        <w:b/>
        <w:sz w:val="32"/>
        <w:szCs w:val="32"/>
      </w:rPr>
      <w:t>Hydrosol</w:t>
    </w:r>
    <w:r w:rsidRPr="00FD3AA0">
      <w:rPr>
        <w:rFonts w:ascii="Arial" w:hAnsi="Arial" w:cs="Arial"/>
        <w:b/>
        <w:sz w:val="32"/>
        <w:szCs w:val="32"/>
      </w:rPr>
      <w:t xml:space="preserve"> </w:t>
    </w:r>
    <w:r>
      <w:rPr>
        <w:rFonts w:ascii="Arial" w:hAnsi="Arial" w:cs="Arial"/>
        <w:b/>
        <w:sz w:val="32"/>
        <w:szCs w:val="32"/>
      </w:rPr>
      <w:t xml:space="preserve">Tiefgrund </w:t>
    </w:r>
    <w:r w:rsidRPr="00FD3AA0">
      <w:rPr>
        <w:rFonts w:ascii="Arial" w:hAnsi="Arial" w:cs="Arial"/>
        <w:b/>
        <w:sz w:val="32"/>
        <w:szCs w:val="32"/>
      </w:rPr>
      <w:t>L</w:t>
    </w:r>
    <w:r>
      <w:rPr>
        <w:rFonts w:ascii="Arial" w:hAnsi="Arial" w:cs="Arial"/>
        <w:b/>
        <w:sz w:val="32"/>
        <w:szCs w:val="32"/>
      </w:rPr>
      <w:t>M</w:t>
    </w:r>
    <w:r w:rsidRPr="00FD3AA0">
      <w:rPr>
        <w:rFonts w:ascii="Arial" w:hAnsi="Arial" w:cs="Arial"/>
        <w:b/>
        <w:sz w:val="32"/>
        <w:szCs w:val="32"/>
      </w:rPr>
      <w:t>F</w:t>
    </w:r>
    <w:r w:rsidRPr="00FD3AA0">
      <w:rPr>
        <w:rFonts w:ascii="Arial" w:hAnsi="Arial" w:cs="Arial"/>
        <w:sz w:val="32"/>
        <w:szCs w:val="32"/>
      </w:rPr>
      <w:br/>
    </w:r>
    <w:r w:rsidRPr="00525E4C">
      <w:rPr>
        <w:rFonts w:ascii="Arial" w:hAnsi="Arial" w:cs="Arial"/>
        <w:sz w:val="20"/>
        <w:szCs w:val="20"/>
      </w:rPr>
      <w:t xml:space="preserve">Stand: </w:t>
    </w:r>
    <w:r w:rsidR="004E52F8"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TIME  \@ "MMM-yyyy" </w:instrText>
    </w:r>
    <w:r w:rsidR="004E52F8">
      <w:rPr>
        <w:rFonts w:ascii="Arial" w:hAnsi="Arial" w:cs="Arial"/>
        <w:sz w:val="20"/>
        <w:szCs w:val="20"/>
      </w:rPr>
      <w:fldChar w:fldCharType="separate"/>
    </w:r>
    <w:r w:rsidR="003B0CB5">
      <w:rPr>
        <w:rFonts w:ascii="Arial" w:hAnsi="Arial" w:cs="Arial"/>
        <w:noProof/>
        <w:sz w:val="20"/>
        <w:szCs w:val="20"/>
      </w:rPr>
      <w:t>Mrz-2010</w:t>
    </w:r>
    <w:r w:rsidR="004E52F8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960"/>
    <w:multiLevelType w:val="hybridMultilevel"/>
    <w:tmpl w:val="BFC22E66"/>
    <w:lvl w:ilvl="0" w:tplc="48D8E3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C3857"/>
    <w:multiLevelType w:val="hybridMultilevel"/>
    <w:tmpl w:val="5A946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C5F96"/>
    <w:multiLevelType w:val="hybridMultilevel"/>
    <w:tmpl w:val="FC32907C"/>
    <w:lvl w:ilvl="0" w:tplc="70E45A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32D22"/>
    <w:multiLevelType w:val="hybridMultilevel"/>
    <w:tmpl w:val="37A05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3" type="connector" idref="#_x0000_s2050"/>
        <o:r id="V:Rule4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25E4C"/>
    <w:rsid w:val="000177D9"/>
    <w:rsid w:val="001A2E77"/>
    <w:rsid w:val="00264DDD"/>
    <w:rsid w:val="002E14D1"/>
    <w:rsid w:val="00386F2D"/>
    <w:rsid w:val="003B0CB5"/>
    <w:rsid w:val="00425D6F"/>
    <w:rsid w:val="00452358"/>
    <w:rsid w:val="004C44CC"/>
    <w:rsid w:val="004E52F8"/>
    <w:rsid w:val="00525E4C"/>
    <w:rsid w:val="00572834"/>
    <w:rsid w:val="005B5A16"/>
    <w:rsid w:val="00740B80"/>
    <w:rsid w:val="009736A1"/>
    <w:rsid w:val="009D0CB8"/>
    <w:rsid w:val="009D209C"/>
    <w:rsid w:val="00A127F4"/>
    <w:rsid w:val="00A90340"/>
    <w:rsid w:val="00C4030C"/>
    <w:rsid w:val="00C82224"/>
    <w:rsid w:val="00CC2EEC"/>
    <w:rsid w:val="00CD33A0"/>
    <w:rsid w:val="00D837AE"/>
    <w:rsid w:val="00E761E8"/>
    <w:rsid w:val="00F70231"/>
    <w:rsid w:val="00FD3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030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5E4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25E4C"/>
  </w:style>
  <w:style w:type="paragraph" w:styleId="Fuzeile">
    <w:name w:val="footer"/>
    <w:basedOn w:val="Standard"/>
    <w:link w:val="FuzeileZchn"/>
    <w:uiPriority w:val="99"/>
    <w:semiHidden/>
    <w:unhideWhenUsed/>
    <w:rsid w:val="00525E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25E4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5E4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5E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25E4C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5B5A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rper2">
    <w:name w:val="Body Text 2"/>
    <w:basedOn w:val="Standard"/>
    <w:link w:val="Textkrper2Zchn"/>
    <w:semiHidden/>
    <w:rsid w:val="00F70231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semiHidden/>
    <w:rsid w:val="00F70231"/>
    <w:rPr>
      <w:rFonts w:ascii="Arial" w:eastAsia="Times New Roman" w:hAnsi="Arial" w:cs="Arial"/>
      <w:sz w:val="16"/>
      <w:szCs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bachmann</dc:creator>
  <cp:keywords/>
  <dc:description/>
  <cp:lastModifiedBy>Oliver Janetzki</cp:lastModifiedBy>
  <cp:revision>7</cp:revision>
  <cp:lastPrinted>2010-03-17T08:35:00Z</cp:lastPrinted>
  <dcterms:created xsi:type="dcterms:W3CDTF">2010-01-07T14:13:00Z</dcterms:created>
  <dcterms:modified xsi:type="dcterms:W3CDTF">2010-03-17T08:35:00Z</dcterms:modified>
</cp:coreProperties>
</file>