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484"/>
      </w:tblGrid>
      <w:tr w:rsidR="00A90340" w:rsidTr="00A90340">
        <w:tc>
          <w:tcPr>
            <w:tcW w:w="9288" w:type="dxa"/>
            <w:gridSpan w:val="2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5A16">
              <w:rPr>
                <w:rFonts w:ascii="Arial" w:hAnsi="Arial" w:cs="Arial"/>
                <w:b/>
                <w:sz w:val="24"/>
                <w:szCs w:val="24"/>
              </w:rPr>
              <w:t>I.Werkstoffbeschreibung</w:t>
            </w:r>
            <w:proofErr w:type="spellEnd"/>
          </w:p>
        </w:tc>
      </w:tr>
      <w:tr w:rsidR="00A90340" w:rsidTr="00A90340">
        <w:tc>
          <w:tcPr>
            <w:tcW w:w="9288" w:type="dxa"/>
            <w:gridSpan w:val="2"/>
          </w:tcPr>
          <w:p w:rsidR="00A90340" w:rsidRPr="005B5A16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2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Produktname:</w:t>
            </w:r>
          </w:p>
        </w:tc>
        <w:tc>
          <w:tcPr>
            <w:tcW w:w="6486" w:type="dxa"/>
          </w:tcPr>
          <w:p w:rsidR="00A90340" w:rsidRDefault="00E761E8" w:rsidP="0045235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Emalux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3352">
              <w:rPr>
                <w:rFonts w:ascii="Arial" w:hAnsi="Arial" w:cs="Arial"/>
                <w:sz w:val="24"/>
                <w:szCs w:val="24"/>
              </w:rPr>
              <w:t>Dachbeschichtung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Eigenschaften:</w:t>
            </w:r>
          </w:p>
        </w:tc>
        <w:tc>
          <w:tcPr>
            <w:tcW w:w="6486" w:type="dxa"/>
          </w:tcPr>
          <w:p w:rsidR="00A90340" w:rsidRPr="00243352" w:rsidRDefault="00243352" w:rsidP="00BC0AC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Wasserverdünnbare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u</w:t>
            </w:r>
            <w:r w:rsidRPr="00243352">
              <w:rPr>
                <w:rFonts w:ascii="Arial" w:hAnsi="Arial" w:cs="Arial"/>
                <w:sz w:val="24"/>
                <w:szCs w:val="24"/>
              </w:rPr>
              <w:t xml:space="preserve">mweltfreundliche Dispersion aus </w:t>
            </w:r>
            <w:proofErr w:type="spellStart"/>
            <w:r w:rsidRPr="00243352">
              <w:rPr>
                <w:rFonts w:ascii="Arial" w:hAnsi="Arial" w:cs="Arial"/>
                <w:sz w:val="24"/>
                <w:szCs w:val="24"/>
              </w:rPr>
              <w:t>copolymeren</w:t>
            </w:r>
            <w:proofErr w:type="spellEnd"/>
            <w:r w:rsidRPr="002433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43352">
              <w:rPr>
                <w:rFonts w:ascii="Arial" w:hAnsi="Arial" w:cs="Arial"/>
                <w:sz w:val="24"/>
                <w:szCs w:val="24"/>
              </w:rPr>
              <w:t>Reinacrylat</w:t>
            </w:r>
            <w:proofErr w:type="spellEnd"/>
            <w:r w:rsidR="00E954AA">
              <w:rPr>
                <w:rFonts w:ascii="Arial" w:hAnsi="Arial" w:cs="Arial"/>
                <w:sz w:val="24"/>
                <w:szCs w:val="24"/>
              </w:rPr>
              <w:t xml:space="preserve"> mit Filmschutz gegen Algen und Pilze</w:t>
            </w:r>
            <w:r w:rsidRPr="00243352">
              <w:rPr>
                <w:rFonts w:ascii="Arial" w:hAnsi="Arial" w:cs="Arial"/>
                <w:sz w:val="24"/>
                <w:szCs w:val="24"/>
              </w:rPr>
              <w:t>. Beschichtung</w:t>
            </w:r>
            <w:r>
              <w:rPr>
                <w:rFonts w:ascii="Arial" w:hAnsi="Arial" w:cs="Arial"/>
                <w:sz w:val="24"/>
                <w:szCs w:val="24"/>
              </w:rPr>
              <w:t>sst</w:t>
            </w:r>
            <w:r w:rsidR="00BC0AC1">
              <w:rPr>
                <w:rFonts w:ascii="Arial" w:hAnsi="Arial" w:cs="Arial"/>
                <w:sz w:val="24"/>
                <w:szCs w:val="24"/>
              </w:rPr>
              <w:t>off für Dachflächen aus Ton-,</w:t>
            </w:r>
            <w:r w:rsidRPr="00243352">
              <w:rPr>
                <w:rFonts w:ascii="Arial" w:hAnsi="Arial" w:cs="Arial"/>
                <w:sz w:val="24"/>
                <w:szCs w:val="24"/>
              </w:rPr>
              <w:t xml:space="preserve"> Betonziegeln, Eternitplatten und Faserzementplatten.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Emalux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Dachbeschichtung ist leicht zu verarbeiten, wasserdampfdurchlässig, elastisch und farb</w:t>
            </w:r>
            <w:r w:rsidR="00D54CEF">
              <w:rPr>
                <w:rFonts w:ascii="Arial" w:hAnsi="Arial" w:cs="Arial"/>
                <w:sz w:val="24"/>
                <w:szCs w:val="24"/>
              </w:rPr>
              <w:t>stabil</w:t>
            </w:r>
            <w:r>
              <w:rPr>
                <w:rFonts w:ascii="Arial" w:hAnsi="Arial" w:cs="Arial"/>
                <w:sz w:val="24"/>
                <w:szCs w:val="24"/>
              </w:rPr>
              <w:t xml:space="preserve">. Darüberhinaus ist </w:t>
            </w:r>
            <w:r w:rsidR="00BC0AC1">
              <w:rPr>
                <w:rFonts w:ascii="Arial" w:hAnsi="Arial" w:cs="Arial"/>
                <w:sz w:val="24"/>
                <w:szCs w:val="24"/>
              </w:rPr>
              <w:t>die Beschichtung</w:t>
            </w:r>
            <w:r>
              <w:rPr>
                <w:rFonts w:ascii="Arial" w:hAnsi="Arial" w:cs="Arial"/>
                <w:sz w:val="24"/>
                <w:szCs w:val="24"/>
              </w:rPr>
              <w:t xml:space="preserve"> sehr gut haftend und hat ein h</w:t>
            </w:r>
            <w:r w:rsidRPr="00243352">
              <w:rPr>
                <w:rFonts w:ascii="Arial" w:hAnsi="Arial" w:cs="Arial"/>
                <w:sz w:val="24"/>
                <w:szCs w:val="24"/>
              </w:rPr>
              <w:t>ohes Widerstandsvermögen gegen Witterungs- und Umwelteinflüsse.</w:t>
            </w:r>
            <w:r w:rsidR="00740B80" w:rsidRPr="00243352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Inhaltsstoffe:</w:t>
            </w:r>
          </w:p>
        </w:tc>
        <w:tc>
          <w:tcPr>
            <w:tcW w:w="6486" w:type="dxa"/>
          </w:tcPr>
          <w:p w:rsidR="00A90340" w:rsidRDefault="00243352" w:rsidP="00E761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Kunstharzdispersion, Wasser, organische Füllstoffe, Pigmente und Filmschutzmittel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55BFC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Farbtö</w:t>
            </w:r>
            <w:r w:rsidR="00A90340" w:rsidRPr="00FD3AA0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A90340" w:rsidRPr="00FD3A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86" w:type="dxa"/>
          </w:tcPr>
          <w:p w:rsidR="00A90340" w:rsidRDefault="00A55BFC" w:rsidP="00A55B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Anthrazit, Schwarz, Schiefergrau, Braun, Rotbraun, Ziegelrot,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Klassikrot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Moosgrün und Stahlblau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55BFC" w:rsidTr="00A90340">
        <w:tc>
          <w:tcPr>
            <w:tcW w:w="2802" w:type="dxa"/>
          </w:tcPr>
          <w:p w:rsidR="00A55BFC" w:rsidRDefault="00A55BFC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Glanzgrade</w:t>
            </w:r>
            <w:r w:rsidR="0033492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86" w:type="dxa"/>
          </w:tcPr>
          <w:p w:rsidR="00A55BFC" w:rsidRDefault="00A55BFC" w:rsidP="00A55B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Seidenmatt, seidenglänzend und glänzend</w:t>
            </w:r>
            <w:r w:rsidR="00E7405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A90340">
        <w:tc>
          <w:tcPr>
            <w:tcW w:w="2802" w:type="dxa"/>
          </w:tcPr>
          <w:p w:rsidR="00452358" w:rsidRPr="00FD3AA0" w:rsidRDefault="00452358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Verpackungsgrößen:</w:t>
            </w:r>
          </w:p>
        </w:tc>
        <w:tc>
          <w:tcPr>
            <w:tcW w:w="6486" w:type="dxa"/>
          </w:tcPr>
          <w:p w:rsidR="00452358" w:rsidRPr="00FD3AA0" w:rsidRDefault="00A55BFC" w:rsidP="00FD3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kg</w:t>
            </w:r>
            <w:r w:rsidR="00E74058">
              <w:rPr>
                <w:rFonts w:ascii="Arial" w:hAnsi="Arial" w:cs="Arial"/>
                <w:sz w:val="24"/>
                <w:szCs w:val="24"/>
              </w:rPr>
              <w:t xml:space="preserve"> Eimer</w:t>
            </w:r>
            <w:r w:rsidR="00452358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30 kg</w:t>
            </w:r>
            <w:r w:rsidR="00E74058">
              <w:rPr>
                <w:rFonts w:ascii="Arial" w:hAnsi="Arial" w:cs="Arial"/>
                <w:sz w:val="24"/>
                <w:szCs w:val="24"/>
              </w:rPr>
              <w:t xml:space="preserve"> Hobbock</w:t>
            </w:r>
          </w:p>
        </w:tc>
      </w:tr>
    </w:tbl>
    <w:p w:rsidR="005B5A16" w:rsidRDefault="005B5A16" w:rsidP="00FD3A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A9034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II. Technische Daten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2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Dichte:</w:t>
            </w:r>
          </w:p>
        </w:tc>
        <w:tc>
          <w:tcPr>
            <w:tcW w:w="6520" w:type="dxa"/>
          </w:tcPr>
          <w:p w:rsidR="00A90340" w:rsidRDefault="00E761E8" w:rsidP="00A55B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Ca. 1,</w:t>
            </w:r>
            <w:r w:rsidR="00A55BFC">
              <w:rPr>
                <w:rFonts w:ascii="Arial" w:hAnsi="Arial" w:cs="Arial"/>
                <w:sz w:val="24"/>
                <w:szCs w:val="24"/>
              </w:rPr>
              <w:t>35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g/</w:t>
            </w:r>
            <w:r w:rsidR="0090366C">
              <w:rPr>
                <w:rFonts w:ascii="Arial" w:hAnsi="Arial" w:cs="Arial"/>
                <w:sz w:val="24"/>
                <w:szCs w:val="24"/>
              </w:rPr>
              <w:t>c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>m³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Lagerung:</w:t>
            </w:r>
          </w:p>
        </w:tc>
        <w:tc>
          <w:tcPr>
            <w:tcW w:w="6520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Kühl, aber vor Frost schützen. Die Lagerzeit beträgt ca. 1 Jahr </w:t>
            </w:r>
            <w:proofErr w:type="gramStart"/>
            <w:r w:rsidRPr="00FD3AA0">
              <w:rPr>
                <w:rFonts w:ascii="Arial" w:hAnsi="Arial" w:cs="Arial"/>
                <w:sz w:val="24"/>
                <w:szCs w:val="24"/>
              </w:rPr>
              <w:t>im</w:t>
            </w:r>
            <w:proofErr w:type="gramEnd"/>
            <w:r w:rsidRPr="00FD3AA0">
              <w:rPr>
                <w:rFonts w:ascii="Arial" w:hAnsi="Arial" w:cs="Arial"/>
                <w:sz w:val="24"/>
                <w:szCs w:val="24"/>
              </w:rPr>
              <w:t xml:space="preserve"> ungeöffneten Gebinde. </w:t>
            </w:r>
            <w:proofErr w:type="spellStart"/>
            <w:r w:rsidRPr="00FD3AA0">
              <w:rPr>
                <w:rFonts w:ascii="Arial" w:hAnsi="Arial" w:cs="Arial"/>
                <w:sz w:val="24"/>
                <w:szCs w:val="24"/>
              </w:rPr>
              <w:t>Anbruchgebinde</w:t>
            </w:r>
            <w:proofErr w:type="spellEnd"/>
            <w:r w:rsidRPr="00FD3AA0">
              <w:rPr>
                <w:rFonts w:ascii="Arial" w:hAnsi="Arial" w:cs="Arial"/>
                <w:sz w:val="24"/>
                <w:szCs w:val="24"/>
              </w:rPr>
              <w:t xml:space="preserve"> dicht verschlossen halten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A90340">
        <w:tc>
          <w:tcPr>
            <w:tcW w:w="2802" w:type="dxa"/>
          </w:tcPr>
          <w:p w:rsidR="00452358" w:rsidRPr="00FD3AA0" w:rsidRDefault="00452358" w:rsidP="00452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Verbrauch:</w:t>
            </w:r>
          </w:p>
        </w:tc>
        <w:tc>
          <w:tcPr>
            <w:tcW w:w="6520" w:type="dxa"/>
          </w:tcPr>
          <w:p w:rsidR="00452358" w:rsidRPr="00FD3AA0" w:rsidRDefault="00452358" w:rsidP="00E74058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Ca. </w:t>
            </w:r>
            <w:r w:rsidR="00E954AA">
              <w:rPr>
                <w:rFonts w:ascii="Arial" w:hAnsi="Arial" w:cs="Arial"/>
                <w:sz w:val="24"/>
                <w:szCs w:val="24"/>
              </w:rPr>
              <w:t>300-350 g</w:t>
            </w:r>
            <w:r>
              <w:rPr>
                <w:rFonts w:ascii="Arial" w:hAnsi="Arial" w:cs="Arial"/>
                <w:sz w:val="24"/>
                <w:szCs w:val="24"/>
              </w:rPr>
              <w:t>/m² pro Arbeitsgang</w:t>
            </w:r>
            <w:r w:rsidR="00DF18D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FD3AA0">
              <w:rPr>
                <w:rFonts w:ascii="Arial" w:hAnsi="Arial" w:cs="Arial"/>
                <w:sz w:val="24"/>
                <w:szCs w:val="24"/>
              </w:rPr>
              <w:t>ggf. durch Probeauftrag ermitteln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E954AA">
              <w:rPr>
                <w:rFonts w:ascii="Arial" w:hAnsi="Arial" w:cs="Arial"/>
                <w:sz w:val="24"/>
                <w:szCs w:val="24"/>
              </w:rPr>
              <w:t xml:space="preserve"> Gesamtauftrag min. 600 g</w:t>
            </w:r>
            <w:r w:rsidR="00DF18D7">
              <w:rPr>
                <w:rFonts w:ascii="Arial" w:hAnsi="Arial" w:cs="Arial"/>
                <w:sz w:val="24"/>
                <w:szCs w:val="24"/>
              </w:rPr>
              <w:t>/m²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5B5A16" w:rsidRDefault="005B5A16" w:rsidP="00FD3A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3"/>
        <w:gridCol w:w="6519"/>
      </w:tblGrid>
      <w:tr w:rsidR="00A90340" w:rsidTr="00A9034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A16">
              <w:rPr>
                <w:rFonts w:ascii="Arial" w:hAnsi="Arial" w:cs="Arial"/>
                <w:b/>
                <w:sz w:val="24"/>
                <w:szCs w:val="24"/>
              </w:rPr>
              <w:t>III. Verarbeitungshinweise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3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Untergründe:</w:t>
            </w:r>
          </w:p>
        </w:tc>
        <w:tc>
          <w:tcPr>
            <w:tcW w:w="6519" w:type="dxa"/>
          </w:tcPr>
          <w:p w:rsidR="00A90340" w:rsidRPr="00E74058" w:rsidRDefault="00E74058" w:rsidP="002114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4058">
              <w:rPr>
                <w:rFonts w:ascii="Arial" w:hAnsi="Arial" w:cs="Arial"/>
                <w:sz w:val="24"/>
                <w:szCs w:val="24"/>
              </w:rPr>
              <w:t>Defekte Bedachungsmaterialien und defekte An- und Abschlüsse durch Fachfirmen austauschen bzw. instandsetzen lassen. Algen- und Moosbewuchs, Schmutz und lose Teile durch den Einsatz von einem Hochdruckreiniger mit Dreckfräse entfernen.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74058">
              <w:rPr>
                <w:rFonts w:ascii="Arial" w:hAnsi="Arial" w:cs="Arial"/>
                <w:b/>
                <w:bCs/>
                <w:sz w:val="24"/>
                <w:szCs w:val="24"/>
              </w:rPr>
              <w:t>Hinweis:</w:t>
            </w:r>
            <w:r w:rsidRPr="00E74058">
              <w:rPr>
                <w:rFonts w:ascii="Arial" w:hAnsi="Arial" w:cs="Arial"/>
                <w:sz w:val="24"/>
                <w:szCs w:val="24"/>
              </w:rPr>
              <w:t xml:space="preserve"> Auch die Kanten sind einwandfrei zu säubern, dabei unbedingt immer in Ablaufrichtung reinigen, damit kein Wasser unter die Dachabdeckung gelangt. Bei übermäßig algenbefallenen Flächen empfehlen wir den Einsatz von </w:t>
            </w:r>
            <w:proofErr w:type="spellStart"/>
            <w:r w:rsidRPr="00E74058">
              <w:rPr>
                <w:rFonts w:ascii="Arial" w:hAnsi="Arial" w:cs="Arial"/>
                <w:sz w:val="24"/>
                <w:szCs w:val="24"/>
              </w:rPr>
              <w:t>Emalux</w:t>
            </w:r>
            <w:proofErr w:type="spellEnd"/>
            <w:r w:rsidRPr="00E740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4058">
              <w:rPr>
                <w:rFonts w:ascii="Arial" w:hAnsi="Arial" w:cs="Arial"/>
                <w:sz w:val="24"/>
                <w:szCs w:val="24"/>
              </w:rPr>
              <w:t>Grünbelagentferner</w:t>
            </w:r>
            <w:proofErr w:type="spellEnd"/>
            <w:r w:rsidRPr="00E74058">
              <w:rPr>
                <w:rFonts w:ascii="Arial" w:hAnsi="Arial" w:cs="Arial"/>
                <w:sz w:val="24"/>
                <w:szCs w:val="24"/>
              </w:rPr>
              <w:t xml:space="preserve">, der dem </w:t>
            </w:r>
            <w:r w:rsidRPr="00E74058">
              <w:rPr>
                <w:rFonts w:ascii="Arial" w:hAnsi="Arial" w:cs="Arial"/>
                <w:sz w:val="24"/>
                <w:szCs w:val="24"/>
              </w:rPr>
              <w:lastRenderedPageBreak/>
              <w:t>technischen Merkblatt entsprechend angewendet werden muss. Der Untergrund muss nach der Reinigung fest, sauber, tragfähig und frei von trennenden Substanzen sein. Poröse, sandende und saugende Untergründe anschli</w:t>
            </w:r>
            <w:r>
              <w:rPr>
                <w:rFonts w:ascii="Arial" w:hAnsi="Arial" w:cs="Arial"/>
                <w:sz w:val="24"/>
                <w:szCs w:val="24"/>
              </w:rPr>
              <w:t xml:space="preserve">eßend mit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Emalux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Dachgrund LF</w:t>
            </w:r>
            <w:r w:rsidRPr="00E74058">
              <w:rPr>
                <w:rFonts w:ascii="Arial" w:hAnsi="Arial" w:cs="Arial"/>
                <w:sz w:val="24"/>
                <w:szCs w:val="24"/>
              </w:rPr>
              <w:t xml:space="preserve"> grundieren.</w:t>
            </w:r>
            <w:r w:rsidR="00DF18D7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lastRenderedPageBreak/>
              <w:t>Auftragsverfahren:</w:t>
            </w:r>
          </w:p>
        </w:tc>
        <w:tc>
          <w:tcPr>
            <w:tcW w:w="6519" w:type="dxa"/>
          </w:tcPr>
          <w:p w:rsidR="00A90340" w:rsidRPr="00DF18D7" w:rsidRDefault="00DF18D7" w:rsidP="00DF18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8D7">
              <w:rPr>
                <w:rFonts w:ascii="Arial" w:hAnsi="Arial" w:cs="Arial"/>
                <w:sz w:val="24"/>
                <w:szCs w:val="24"/>
              </w:rPr>
              <w:t xml:space="preserve">Zu verarbeiten </w:t>
            </w:r>
            <w:r>
              <w:rPr>
                <w:rFonts w:ascii="Arial" w:hAnsi="Arial" w:cs="Arial"/>
                <w:sz w:val="24"/>
                <w:szCs w:val="24"/>
              </w:rPr>
              <w:t>mit Bürste, Farbroller oder</w:t>
            </w:r>
            <w:r w:rsidRPr="00DF18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8D7">
              <w:rPr>
                <w:rFonts w:ascii="Arial" w:hAnsi="Arial" w:cs="Arial"/>
                <w:sz w:val="24"/>
                <w:szCs w:val="24"/>
              </w:rPr>
              <w:t>Airlessgerät</w:t>
            </w:r>
            <w:proofErr w:type="spellEnd"/>
            <w:r w:rsidRPr="00DF18D7">
              <w:rPr>
                <w:rFonts w:ascii="Arial" w:hAnsi="Arial" w:cs="Arial"/>
                <w:sz w:val="24"/>
                <w:szCs w:val="24"/>
              </w:rPr>
              <w:t>.</w:t>
            </w:r>
            <w:r w:rsidRPr="00DF18D7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proofErr w:type="spellStart"/>
            <w:r w:rsidRPr="00DF18D7">
              <w:rPr>
                <w:rFonts w:ascii="Arial" w:hAnsi="Arial" w:cs="Arial"/>
                <w:sz w:val="24"/>
                <w:szCs w:val="24"/>
                <w:u w:val="single"/>
              </w:rPr>
              <w:t>Airlessauftrag</w:t>
            </w:r>
            <w:proofErr w:type="spellEnd"/>
            <w:r w:rsidRPr="00DF18D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Pr="00DF18D7">
              <w:rPr>
                <w:rFonts w:ascii="Arial" w:hAnsi="Arial" w:cs="Arial"/>
                <w:sz w:val="24"/>
                <w:szCs w:val="24"/>
              </w:rPr>
              <w:t>Spritzwinkel: 50 °; Düse: 0,021 “, Druck 110 – 130 bar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Beschichtungsaufbau:</w:t>
            </w:r>
          </w:p>
        </w:tc>
        <w:tc>
          <w:tcPr>
            <w:tcW w:w="6519" w:type="dxa"/>
          </w:tcPr>
          <w:p w:rsidR="00A90340" w:rsidRPr="00DF18D7" w:rsidRDefault="00DF18D7" w:rsidP="002114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8D7">
              <w:rPr>
                <w:rFonts w:ascii="Arial" w:hAnsi="Arial" w:cs="Arial"/>
                <w:sz w:val="24"/>
                <w:szCs w:val="24"/>
                <w:u w:val="single"/>
              </w:rPr>
              <w:t>1. Betondachsteine:</w:t>
            </w:r>
            <w:r w:rsidRPr="00DF18D7">
              <w:rPr>
                <w:rFonts w:ascii="Arial" w:hAnsi="Arial" w:cs="Arial"/>
                <w:sz w:val="24"/>
                <w:szCs w:val="24"/>
              </w:rPr>
              <w:t xml:space="preserve"> Vorbereiteten Untergrund 2-mal Nass in Nass oder in 2 getrennten Arbeitsgängen mit </w:t>
            </w:r>
            <w:proofErr w:type="spellStart"/>
            <w:r w:rsidRPr="00DF18D7">
              <w:rPr>
                <w:rFonts w:ascii="Arial" w:hAnsi="Arial" w:cs="Arial"/>
                <w:sz w:val="24"/>
                <w:szCs w:val="24"/>
              </w:rPr>
              <w:t>Emalux</w:t>
            </w:r>
            <w:proofErr w:type="spellEnd"/>
            <w:r w:rsidRPr="00DF18D7">
              <w:rPr>
                <w:rFonts w:ascii="Arial" w:hAnsi="Arial" w:cs="Arial"/>
                <w:sz w:val="24"/>
                <w:szCs w:val="24"/>
              </w:rPr>
              <w:t xml:space="preserve"> Dachbeschichtung beschichten.</w:t>
            </w:r>
            <w:r w:rsidRPr="00DF18D7">
              <w:rPr>
                <w:rFonts w:ascii="Arial" w:hAnsi="Arial" w:cs="Arial"/>
                <w:sz w:val="24"/>
                <w:szCs w:val="24"/>
              </w:rPr>
              <w:br/>
            </w:r>
            <w:r w:rsidRPr="00DF18D7">
              <w:rPr>
                <w:rFonts w:ascii="Arial" w:hAnsi="Arial" w:cs="Arial"/>
                <w:sz w:val="24"/>
                <w:szCs w:val="24"/>
                <w:u w:val="single"/>
              </w:rPr>
              <w:t>2. Tonziegel:</w:t>
            </w:r>
            <w:r w:rsidRPr="00DF18D7">
              <w:rPr>
                <w:rFonts w:ascii="Arial" w:hAnsi="Arial" w:cs="Arial"/>
                <w:sz w:val="24"/>
                <w:szCs w:val="24"/>
              </w:rPr>
              <w:t xml:space="preserve"> Untergrund wie zuvor reinigen. Glatte Untergründe mit </w:t>
            </w:r>
            <w:proofErr w:type="spellStart"/>
            <w:r w:rsidRPr="00DF18D7">
              <w:rPr>
                <w:rFonts w:ascii="Arial" w:hAnsi="Arial" w:cs="Arial"/>
                <w:sz w:val="24"/>
                <w:szCs w:val="24"/>
              </w:rPr>
              <w:t>Emalux</w:t>
            </w:r>
            <w:proofErr w:type="spellEnd"/>
            <w:r w:rsidRPr="00DF18D7">
              <w:rPr>
                <w:rFonts w:ascii="Arial" w:hAnsi="Arial" w:cs="Arial"/>
                <w:sz w:val="24"/>
                <w:szCs w:val="24"/>
              </w:rPr>
              <w:t xml:space="preserve"> Dachgrund LF dünn grundieren, dabei Glanzstellen vermeiden (s. TM Dachgrund LF). Danach 2-mal mit </w:t>
            </w:r>
            <w:proofErr w:type="spellStart"/>
            <w:r w:rsidRPr="00DF18D7">
              <w:rPr>
                <w:rFonts w:ascii="Arial" w:hAnsi="Arial" w:cs="Arial"/>
                <w:sz w:val="24"/>
                <w:szCs w:val="24"/>
              </w:rPr>
              <w:t>Emalux</w:t>
            </w:r>
            <w:proofErr w:type="spellEnd"/>
            <w:r w:rsidRPr="00DF18D7">
              <w:rPr>
                <w:rFonts w:ascii="Arial" w:hAnsi="Arial" w:cs="Arial"/>
                <w:sz w:val="24"/>
                <w:szCs w:val="24"/>
              </w:rPr>
              <w:t xml:space="preserve"> Dachbeschichtung beschichten.</w:t>
            </w:r>
            <w:r w:rsidRPr="00DF18D7">
              <w:rPr>
                <w:rFonts w:ascii="Arial" w:hAnsi="Arial" w:cs="Arial"/>
                <w:sz w:val="24"/>
                <w:szCs w:val="24"/>
              </w:rPr>
              <w:br/>
            </w:r>
            <w:r w:rsidRPr="00DF18D7">
              <w:rPr>
                <w:rFonts w:ascii="Arial" w:hAnsi="Arial" w:cs="Arial"/>
                <w:sz w:val="24"/>
                <w:szCs w:val="24"/>
                <w:u w:val="single"/>
              </w:rPr>
              <w:t>3. Faserzementplatten / Eternit Wellplatten:</w:t>
            </w:r>
            <w:r w:rsidRPr="00DF18D7">
              <w:rPr>
                <w:rFonts w:ascii="Arial" w:hAnsi="Arial" w:cs="Arial"/>
                <w:sz w:val="24"/>
                <w:szCs w:val="24"/>
              </w:rPr>
              <w:t xml:space="preserve"> wie zuvor, bei asbesthaltigen Untergründen</w:t>
            </w:r>
            <w:r w:rsidRPr="00E95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18D7">
              <w:rPr>
                <w:rFonts w:ascii="Arial" w:hAnsi="Arial" w:cs="Arial"/>
                <w:sz w:val="24"/>
                <w:szCs w:val="24"/>
              </w:rPr>
              <w:t>TRGS 519 beachten.</w:t>
            </w:r>
            <w:r w:rsidRPr="00DF18D7">
              <w:rPr>
                <w:rFonts w:ascii="Arial" w:hAnsi="Arial" w:cs="Arial"/>
                <w:sz w:val="24"/>
                <w:szCs w:val="24"/>
              </w:rPr>
              <w:br/>
            </w:r>
            <w:r w:rsidRPr="00DF18D7">
              <w:rPr>
                <w:rFonts w:ascii="Arial" w:hAnsi="Arial" w:cs="Arial"/>
                <w:b/>
                <w:bCs/>
                <w:sz w:val="24"/>
                <w:szCs w:val="24"/>
              </w:rPr>
              <w:t>Hinweise:</w:t>
            </w:r>
            <w:r w:rsidR="0021146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211465">
              <w:rPr>
                <w:rFonts w:ascii="Arial" w:hAnsi="Arial" w:cs="Arial"/>
                <w:sz w:val="24"/>
                <w:szCs w:val="24"/>
              </w:rPr>
              <w:t xml:space="preserve">- Die Dachdeckung muss ausreichend </w:t>
            </w:r>
            <w:proofErr w:type="spellStart"/>
            <w:r w:rsidR="00211465">
              <w:rPr>
                <w:rFonts w:ascii="Arial" w:hAnsi="Arial" w:cs="Arial"/>
                <w:sz w:val="24"/>
                <w:szCs w:val="24"/>
              </w:rPr>
              <w:t>hinterlüftet</w:t>
            </w:r>
            <w:proofErr w:type="spellEnd"/>
            <w:r w:rsidR="00211465">
              <w:rPr>
                <w:rFonts w:ascii="Arial" w:hAnsi="Arial" w:cs="Arial"/>
                <w:sz w:val="24"/>
                <w:szCs w:val="24"/>
              </w:rPr>
              <w:t xml:space="preserve"> sein.</w:t>
            </w:r>
            <w:r w:rsidR="00E954A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E954A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F18D7">
              <w:rPr>
                <w:rFonts w:ascii="Arial" w:hAnsi="Arial" w:cs="Arial"/>
                <w:sz w:val="24"/>
                <w:szCs w:val="24"/>
              </w:rPr>
              <w:t>Emalux</w:t>
            </w:r>
            <w:proofErr w:type="spellEnd"/>
            <w:r w:rsidRPr="00DF18D7">
              <w:rPr>
                <w:rFonts w:ascii="Arial" w:hAnsi="Arial" w:cs="Arial"/>
                <w:sz w:val="24"/>
                <w:szCs w:val="24"/>
              </w:rPr>
              <w:t xml:space="preserve"> Dachbeschichtung darf auf engobierten Tonziegel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DF18D7">
              <w:rPr>
                <w:rFonts w:ascii="Arial" w:hAnsi="Arial" w:cs="Arial"/>
                <w:sz w:val="24"/>
                <w:szCs w:val="24"/>
              </w:rPr>
              <w:t xml:space="preserve"> und auf glatten Faserzementplatten nur nach entsprechender Grundierung und einen positiven Probeanstrich angewendet werden.</w:t>
            </w:r>
            <w:r w:rsidR="00E954AA">
              <w:rPr>
                <w:rFonts w:ascii="Arial" w:hAnsi="Arial" w:cs="Arial"/>
                <w:sz w:val="24"/>
                <w:szCs w:val="24"/>
              </w:rPr>
              <w:br/>
              <w:t>- Neuere Dachziegel weisen teilweise veredelte Oberflächen (z.B. schmutzabweisende oder selbstreinigende Oberflächen) auf. Zur Beurteilung der Haftung sind vor der Ausführung prinzipiell Musterflächen anzulegen.</w:t>
            </w:r>
            <w:r w:rsidRPr="00DF18D7">
              <w:rPr>
                <w:rFonts w:ascii="Arial" w:hAnsi="Arial" w:cs="Arial"/>
                <w:sz w:val="24"/>
                <w:szCs w:val="24"/>
              </w:rPr>
              <w:br/>
            </w:r>
            <w:r w:rsidR="00E954A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F18D7">
              <w:rPr>
                <w:rFonts w:ascii="Arial" w:hAnsi="Arial" w:cs="Arial"/>
                <w:sz w:val="24"/>
                <w:szCs w:val="24"/>
              </w:rPr>
              <w:t xml:space="preserve">Nicht bei drohenden Regen, Nebel, Frost oder bei </w:t>
            </w:r>
            <w:proofErr w:type="spellStart"/>
            <w:r w:rsidRPr="00DF18D7">
              <w:rPr>
                <w:rFonts w:ascii="Arial" w:hAnsi="Arial" w:cs="Arial"/>
                <w:sz w:val="24"/>
                <w:szCs w:val="24"/>
              </w:rPr>
              <w:t>Luftfeuchtigkeiten</w:t>
            </w:r>
            <w:proofErr w:type="spellEnd"/>
            <w:r w:rsidRPr="00DF18D7">
              <w:rPr>
                <w:rFonts w:ascii="Arial" w:hAnsi="Arial" w:cs="Arial"/>
                <w:sz w:val="24"/>
                <w:szCs w:val="24"/>
              </w:rPr>
              <w:t xml:space="preserve"> über 80 % sowie bei Temperaturen unter 5 ° C verarbeiten.</w:t>
            </w:r>
            <w:r w:rsidRPr="00DF18D7">
              <w:rPr>
                <w:rFonts w:ascii="Arial" w:hAnsi="Arial" w:cs="Arial"/>
                <w:sz w:val="24"/>
                <w:szCs w:val="24"/>
              </w:rPr>
              <w:br/>
              <w:t>Aufgeheizte Flächen in den Sommermonaten evtl. vornässen.</w:t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Werkzeugreinigung:</w:t>
            </w:r>
          </w:p>
        </w:tc>
        <w:tc>
          <w:tcPr>
            <w:tcW w:w="6519" w:type="dxa"/>
          </w:tcPr>
          <w:p w:rsidR="00A90340" w:rsidRPr="00FD3AA0" w:rsidRDefault="00A9034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>Arbeitsgeräte sofort nach dem Gebrauch mit Wasser reinigen.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Temperaturgrenzen bei der Verarbeitung:</w:t>
            </w:r>
          </w:p>
        </w:tc>
        <w:tc>
          <w:tcPr>
            <w:tcW w:w="6519" w:type="dxa"/>
          </w:tcPr>
          <w:p w:rsidR="00A90340" w:rsidRPr="00FD3AA0" w:rsidRDefault="00211465" w:rsidP="00FD3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Mindestens + 5° C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>, nicht bei Nebel, Frostgefahr, Regen und mehr als 80 % rel. Luftfeuchte auftragen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Trockenzeit:</w:t>
            </w:r>
          </w:p>
        </w:tc>
        <w:tc>
          <w:tcPr>
            <w:tcW w:w="6519" w:type="dxa"/>
          </w:tcPr>
          <w:p w:rsidR="00A90340" w:rsidRPr="00FD3AA0" w:rsidRDefault="00A90340" w:rsidP="00211465">
            <w:pPr>
              <w:pStyle w:val="Textkrper"/>
              <w:rPr>
                <w:rFonts w:ascii="Arial" w:hAnsi="Arial" w:cs="Arial"/>
                <w:sz w:val="24"/>
                <w:szCs w:val="24"/>
              </w:rPr>
            </w:pPr>
            <w:r w:rsidRPr="00E954AA">
              <w:rPr>
                <w:rFonts w:ascii="Arial" w:hAnsi="Arial" w:cs="Arial"/>
                <w:sz w:val="24"/>
                <w:szCs w:val="24"/>
                <w:u w:val="single"/>
              </w:rPr>
              <w:t>Bei 20° C und 65 % rel. Luftfeuchte</w:t>
            </w:r>
            <w:r w:rsidR="00E954AA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="00E954AA" w:rsidRPr="00E954AA">
              <w:rPr>
                <w:rFonts w:ascii="Arial" w:hAnsi="Arial" w:cs="Arial"/>
                <w:sz w:val="24"/>
                <w:szCs w:val="24"/>
              </w:rPr>
              <w:t>Überarbeitbar</w:t>
            </w:r>
            <w:proofErr w:type="spellEnd"/>
            <w:r w:rsidR="00E954AA" w:rsidRPr="00E954AA">
              <w:rPr>
                <w:rFonts w:ascii="Arial" w:hAnsi="Arial" w:cs="Arial"/>
                <w:sz w:val="24"/>
                <w:szCs w:val="24"/>
              </w:rPr>
              <w:t xml:space="preserve"> nach:  Ca. 2 Std.</w:t>
            </w:r>
            <w:r w:rsidR="00E954AA" w:rsidRPr="00E954AA">
              <w:rPr>
                <w:rFonts w:ascii="Arial" w:hAnsi="Arial" w:cs="Arial"/>
                <w:sz w:val="24"/>
                <w:szCs w:val="24"/>
              </w:rPr>
              <w:br/>
              <w:t>Regenbelastbar nach: Ca. 4 Std.</w:t>
            </w:r>
            <w:r w:rsidR="00E954AA" w:rsidRPr="00E954AA">
              <w:rPr>
                <w:rFonts w:ascii="Arial" w:hAnsi="Arial" w:cs="Arial"/>
                <w:sz w:val="24"/>
                <w:szCs w:val="24"/>
              </w:rPr>
              <w:br/>
              <w:t xml:space="preserve">Bei </w:t>
            </w:r>
            <w:r w:rsidR="00211465">
              <w:rPr>
                <w:rFonts w:ascii="Arial" w:hAnsi="Arial" w:cs="Arial"/>
                <w:sz w:val="24"/>
                <w:szCs w:val="24"/>
              </w:rPr>
              <w:t>Abweichungen vom Normklima</w:t>
            </w:r>
            <w:r w:rsidR="00E954AA" w:rsidRPr="00E954AA">
              <w:rPr>
                <w:rFonts w:ascii="Arial" w:hAnsi="Arial" w:cs="Arial"/>
                <w:sz w:val="24"/>
                <w:szCs w:val="24"/>
              </w:rPr>
              <w:t xml:space="preserve"> verlängern</w:t>
            </w:r>
            <w:r w:rsidR="00211465">
              <w:rPr>
                <w:rFonts w:ascii="Arial" w:hAnsi="Arial" w:cs="Arial"/>
                <w:sz w:val="24"/>
                <w:szCs w:val="24"/>
              </w:rPr>
              <w:t>/verkürzen</w:t>
            </w:r>
            <w:r w:rsidR="00E954AA" w:rsidRPr="00E954AA">
              <w:rPr>
                <w:rFonts w:ascii="Arial" w:hAnsi="Arial" w:cs="Arial"/>
                <w:sz w:val="24"/>
                <w:szCs w:val="24"/>
              </w:rPr>
              <w:t xml:space="preserve"> sich diese Zeiten entsprechend. In den Übergangszeiten Frühling/Herbst empfehlen wir den Einsatz der </w:t>
            </w:r>
            <w:proofErr w:type="spellStart"/>
            <w:r w:rsidR="00E954AA" w:rsidRPr="00E954AA">
              <w:rPr>
                <w:rFonts w:ascii="Arial" w:hAnsi="Arial" w:cs="Arial"/>
                <w:sz w:val="24"/>
                <w:szCs w:val="24"/>
              </w:rPr>
              <w:t>Emalux</w:t>
            </w:r>
            <w:proofErr w:type="spellEnd"/>
            <w:r w:rsidR="00E954AA" w:rsidRPr="00E954AA">
              <w:rPr>
                <w:rFonts w:ascii="Arial" w:hAnsi="Arial" w:cs="Arial"/>
                <w:sz w:val="24"/>
                <w:szCs w:val="24"/>
              </w:rPr>
              <w:t xml:space="preserve"> Dachbeschichtung mit werkseitig ausgerüstetem </w:t>
            </w:r>
            <w:r w:rsidR="00E954AA" w:rsidRPr="00E954AA">
              <w:rPr>
                <w:rFonts w:ascii="Arial" w:hAnsi="Arial" w:cs="Arial"/>
                <w:sz w:val="24"/>
                <w:szCs w:val="24"/>
              </w:rPr>
              <w:lastRenderedPageBreak/>
              <w:t>Trockenbeschleunig</w:t>
            </w:r>
            <w:r w:rsidR="00E954AA">
              <w:rPr>
                <w:rFonts w:ascii="Arial" w:hAnsi="Arial" w:cs="Arial"/>
                <w:sz w:val="24"/>
                <w:szCs w:val="24"/>
              </w:rPr>
              <w:t>er um eine Trocknung bei höherer</w:t>
            </w:r>
            <w:r w:rsidR="00E954AA" w:rsidRPr="00E954AA">
              <w:rPr>
                <w:rFonts w:ascii="Arial" w:hAnsi="Arial" w:cs="Arial"/>
                <w:sz w:val="24"/>
                <w:szCs w:val="24"/>
              </w:rPr>
              <w:t xml:space="preserve"> Luftfeuchtigkeit und niedrigeren Temperaturen zu gewährleisten. Siehe hierzu die Spezifikation laut Prüfbericht ( bei Bedarf anfordern ).</w:t>
            </w:r>
          </w:p>
        </w:tc>
      </w:tr>
    </w:tbl>
    <w:p w:rsidR="00C4030C" w:rsidRDefault="00C4030C" w:rsidP="00FD3AA0">
      <w:pPr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740B8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CC2EEC">
              <w:rPr>
                <w:rFonts w:ascii="Arial" w:hAnsi="Arial" w:cs="Arial"/>
                <w:b/>
                <w:sz w:val="24"/>
                <w:szCs w:val="24"/>
              </w:rPr>
              <w:t>IV. Sonstige Hinweise</w:t>
            </w:r>
          </w:p>
        </w:tc>
      </w:tr>
      <w:tr w:rsidR="00740B80" w:rsidTr="00740B80">
        <w:tc>
          <w:tcPr>
            <w:tcW w:w="9322" w:type="dxa"/>
            <w:gridSpan w:val="2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B80" w:rsidTr="00740B80">
        <w:tc>
          <w:tcPr>
            <w:tcW w:w="2802" w:type="dxa"/>
          </w:tcPr>
          <w:p w:rsidR="00740B80" w:rsidRPr="009023DC" w:rsidRDefault="009023DC" w:rsidP="00D54C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23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Gefahrenhinweise </w:t>
            </w:r>
            <w:r w:rsidR="00D54CEF">
              <w:rPr>
                <w:rFonts w:ascii="Arial" w:hAnsi="Arial" w:cs="Arial"/>
                <w:b/>
                <w:bCs/>
                <w:sz w:val="24"/>
                <w:szCs w:val="24"/>
              </w:rPr>
              <w:t>und</w:t>
            </w:r>
            <w:r w:rsidRPr="009023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54CEF">
              <w:rPr>
                <w:rFonts w:ascii="Arial" w:hAnsi="Arial" w:cs="Arial"/>
                <w:b/>
                <w:bCs/>
                <w:sz w:val="24"/>
                <w:szCs w:val="24"/>
              </w:rPr>
              <w:t>Sicherheitsratschläge</w:t>
            </w:r>
            <w:r w:rsidRPr="009023D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740B80" w:rsidRPr="009023DC" w:rsidRDefault="009023DC" w:rsidP="00F70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23DC">
              <w:rPr>
                <w:rFonts w:ascii="Arial" w:hAnsi="Arial" w:cs="Arial"/>
                <w:bCs/>
                <w:sz w:val="24"/>
                <w:szCs w:val="24"/>
              </w:rPr>
              <w:t>Für Kinder unzugänglich aufbewahren. Bei Verschlucken sofort ärztlichen Rat einholen und Verpackung oder Etikett vorzeigen, da die Darmflora gestört werden kann. Reste nicht in die Kanalisation/Gewässer oder ins Erdreich gelangen lassen.</w:t>
            </w:r>
            <w:r w:rsidR="00D54CEF">
              <w:rPr>
                <w:rFonts w:ascii="Arial" w:hAnsi="Arial" w:cs="Arial"/>
                <w:bCs/>
                <w:sz w:val="24"/>
                <w:szCs w:val="24"/>
              </w:rPr>
              <w:t xml:space="preserve"> Bei Spritzverarbeitung Spritznebel nicht einatmen.</w:t>
            </w:r>
            <w:r w:rsidRPr="009023DC">
              <w:rPr>
                <w:rFonts w:ascii="Arial" w:hAnsi="Arial" w:cs="Arial"/>
                <w:bCs/>
                <w:sz w:val="24"/>
                <w:szCs w:val="24"/>
              </w:rPr>
              <w:br/>
              <w:t>R 52/53 Schädlich für Wasserorganismen, kann in Gewässern längerfristig schädliche Auswirkungen haben.</w:t>
            </w:r>
            <w:r w:rsidR="00D54CEF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</w:tr>
      <w:tr w:rsidR="00D54CEF" w:rsidTr="00740B80">
        <w:tc>
          <w:tcPr>
            <w:tcW w:w="2802" w:type="dxa"/>
          </w:tcPr>
          <w:p w:rsidR="00D54CEF" w:rsidRPr="009023DC" w:rsidRDefault="00D54CEF" w:rsidP="00D54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Besondere Hinweise:</w:t>
            </w:r>
          </w:p>
        </w:tc>
        <w:tc>
          <w:tcPr>
            <w:tcW w:w="6520" w:type="dxa"/>
          </w:tcPr>
          <w:p w:rsidR="00D54CEF" w:rsidRPr="00D54CEF" w:rsidRDefault="00D54CEF" w:rsidP="00D54CE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54CEF">
              <w:rPr>
                <w:rFonts w:ascii="Arial" w:hAnsi="Arial" w:cs="Arial"/>
                <w:bCs/>
                <w:iCs/>
                <w:sz w:val="24"/>
                <w:szCs w:val="24"/>
              </w:rPr>
              <w:t>Emalux</w:t>
            </w:r>
            <w:proofErr w:type="spellEnd"/>
            <w:r w:rsidRPr="00D54CE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Dachbeschichtung ist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mit einem Filmschutz gegen Algen und Pilze ausgerüstet</w:t>
            </w:r>
            <w:r w:rsidRPr="00D54CE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. Sollte das ablaufende Regenwasser der Dachfläche zur Bewässerung von Pflanzen oder Fischteiche benutzt werden, ist dies nach einer Beschichtung ca.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 Monaten,</w:t>
            </w:r>
            <w:r w:rsidRPr="00D54CE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je nach Witterung, </w:t>
            </w:r>
            <w:r w:rsidRPr="00D54CEF"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  <w:t>nicht empfehlenswert</w:t>
            </w:r>
            <w:r w:rsidRPr="00D54CEF">
              <w:rPr>
                <w:rFonts w:ascii="Arial" w:hAnsi="Arial" w:cs="Arial"/>
                <w:bCs/>
                <w:iCs/>
                <w:sz w:val="24"/>
                <w:szCs w:val="24"/>
              </w:rPr>
              <w:t>, da organische Materialien und Tiere Schaden nehmen können.</w:t>
            </w:r>
          </w:p>
        </w:tc>
      </w:tr>
      <w:tr w:rsidR="00211465" w:rsidTr="00740B80">
        <w:tc>
          <w:tcPr>
            <w:tcW w:w="2802" w:type="dxa"/>
          </w:tcPr>
          <w:p w:rsidR="00211465" w:rsidRDefault="00211465" w:rsidP="009023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Entsorgung:</w:t>
            </w:r>
          </w:p>
        </w:tc>
        <w:tc>
          <w:tcPr>
            <w:tcW w:w="6520" w:type="dxa"/>
          </w:tcPr>
          <w:p w:rsidR="00211465" w:rsidRPr="00D54CEF" w:rsidRDefault="00211465" w:rsidP="009023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4CEF">
              <w:rPr>
                <w:rFonts w:ascii="Arial" w:hAnsi="Arial" w:cs="Arial"/>
                <w:sz w:val="24"/>
                <w:szCs w:val="24"/>
              </w:rPr>
              <w:t xml:space="preserve">Nur restentleerte Gebinde zum Recycling geben. </w:t>
            </w:r>
            <w:r w:rsidR="00D54CEF" w:rsidRPr="00D54CEF">
              <w:rPr>
                <w:rFonts w:ascii="Arial" w:hAnsi="Arial" w:cs="Arial"/>
                <w:sz w:val="24"/>
                <w:szCs w:val="24"/>
              </w:rPr>
              <w:t>Flüssiges Produkt darf nicht zusammen mit Hausmüll entsorgt werden. Nicht in die Kanalisation gelangen lassen. Getrocknete Farbreste können als Hausmüll oder Baustellenabfälle entsorgt werden.</w:t>
            </w:r>
            <w:r w:rsidRPr="00D54CEF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211465" w:rsidTr="00740B80">
        <w:tc>
          <w:tcPr>
            <w:tcW w:w="2802" w:type="dxa"/>
          </w:tcPr>
          <w:p w:rsidR="00211465" w:rsidRDefault="00211465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Produkt-Code:</w:t>
            </w:r>
          </w:p>
        </w:tc>
        <w:tc>
          <w:tcPr>
            <w:tcW w:w="6520" w:type="dxa"/>
          </w:tcPr>
          <w:p w:rsidR="00211465" w:rsidRDefault="00211465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M-D</w:t>
            </w:r>
            <w:r w:rsidRPr="00FD3AA0">
              <w:rPr>
                <w:rFonts w:ascii="Arial" w:hAnsi="Arial" w:cs="Arial"/>
                <w:sz w:val="24"/>
                <w:szCs w:val="24"/>
              </w:rPr>
              <w:t>F0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54CEF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54CEF" w:rsidTr="00740B80">
        <w:tc>
          <w:tcPr>
            <w:tcW w:w="2802" w:type="dxa"/>
          </w:tcPr>
          <w:p w:rsidR="00D54CEF" w:rsidRPr="00FD3AA0" w:rsidRDefault="00D54CEF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Nähere Angaben</w:t>
            </w:r>
            <w:r w:rsidR="0033492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D54CEF" w:rsidRDefault="00D54CEF" w:rsidP="00740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Siehe Sicherheitsdatenblatt</w:t>
            </w:r>
          </w:p>
        </w:tc>
      </w:tr>
    </w:tbl>
    <w:p w:rsidR="00740B80" w:rsidRDefault="00740B80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F70231" w:rsidRPr="00F70231" w:rsidRDefault="00F70231" w:rsidP="00F70231">
      <w:pPr>
        <w:pStyle w:val="Textkrper2"/>
        <w:rPr>
          <w:sz w:val="20"/>
          <w:szCs w:val="20"/>
        </w:rPr>
      </w:pPr>
      <w:r w:rsidRPr="00F70231">
        <w:rPr>
          <w:sz w:val="20"/>
          <w:szCs w:val="20"/>
        </w:rPr>
        <w:t xml:space="preserve">Diese </w:t>
      </w:r>
      <w:proofErr w:type="spellStart"/>
      <w:r w:rsidRPr="00F70231">
        <w:rPr>
          <w:sz w:val="20"/>
          <w:szCs w:val="20"/>
        </w:rPr>
        <w:t>Emalux</w:t>
      </w:r>
      <w:proofErr w:type="spellEnd"/>
      <w:r w:rsidRPr="00F70231">
        <w:rPr>
          <w:sz w:val="20"/>
          <w:szCs w:val="20"/>
        </w:rPr>
        <w:t xml:space="preserve"> Information wurde nach dem neuesten Stand der Technik und unseren vorliegenden Erfahrungen zusammengestellt. Im Hinblick auf die Vielfalt der Untergründe und Objektbedingungen wird der Käufer/Anwender nicht von seiner Pflicht entbunden, unsere Werkstoffe in eigener Verantwortung auf ihre Eignung für den vorgesehenen Verwendungszweck unter den jeweiligen Objektbedingungen fach- und handwerksgerecht zu prüfen. Bei Erscheinen einer Neuauflage verliert diese Druckschrift ihre Gültigkeit. </w:t>
      </w:r>
    </w:p>
    <w:sectPr w:rsidR="00F70231" w:rsidRPr="00F70231" w:rsidSect="00E761E8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403" w:rsidRDefault="00F32403" w:rsidP="00525E4C">
      <w:r>
        <w:separator/>
      </w:r>
    </w:p>
  </w:endnote>
  <w:endnote w:type="continuationSeparator" w:id="1">
    <w:p w:rsidR="00F32403" w:rsidRDefault="00F32403" w:rsidP="0052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5208"/>
      <w:docPartObj>
        <w:docPartGallery w:val="Page Numbers (Bottom of Page)"/>
        <w:docPartUnique/>
      </w:docPartObj>
    </w:sdtPr>
    <w:sdtContent>
      <w:p w:rsidR="00F32403" w:rsidRDefault="00BB5D56" w:rsidP="00A90340">
        <w:pPr>
          <w:pStyle w:val="Fuzeile"/>
          <w:jc w:val="center"/>
        </w:pP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0;text-align:left;margin-left:-6.7pt;margin-top:13.7pt;width:465.45pt;height:0;z-index:251661312;mso-position-horizontal-relative:margin;mso-position-vertical-relative:bottom-margin-area;mso-height-relative:bottom-margin-area;v-text-anchor:middle" o:connectortype="straight" strokecolor="black [3213]" strokeweight="1.5pt"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1" type="#_x0000_t185" style="position:absolute;left:0;text-align:left;margin-left:206.55pt;margin-top:4.45pt;width:42.95pt;height:18.8pt;z-index:251662336;mso-width-percent:100;mso-position-horizontal-relative:margin;mso-position-vertical-relative:bottom-margin-area;mso-width-percent:100;mso-width-relative:margin;mso-height-relative:bottom-margin-area;v-text-anchor:top" filled="t" fillcolor="white [3212]" strokecolor="black [3213]" strokeweight="1.5pt">
              <v:textbox style="mso-next-textbox:#_x0000_s2051" inset=",0,,0">
                <w:txbxContent>
                  <w:p w:rsidR="00F32403" w:rsidRDefault="00BB5D56">
                    <w:pPr>
                      <w:jc w:val="center"/>
                    </w:pPr>
                    <w:fldSimple w:instr=" PAGE    \* MERGEFORMAT ">
                      <w:r w:rsidR="00465DA2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="00F32403">
          <w:br/>
        </w:r>
        <w:r w:rsidR="00F32403">
          <w:br/>
        </w:r>
        <w:proofErr w:type="spellStart"/>
        <w:r w:rsidR="00F32403">
          <w:t>Emalux</w:t>
        </w:r>
        <w:proofErr w:type="spellEnd"/>
        <w:r w:rsidR="00F32403">
          <w:t xml:space="preserve"> GmbH - Farbenfabrik - Werner-v.-Siemensstraße 6 - 28832 Achim - www.emalux.de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403" w:rsidRDefault="00F32403" w:rsidP="00525E4C">
      <w:r>
        <w:separator/>
      </w:r>
    </w:p>
  </w:footnote>
  <w:footnote w:type="continuationSeparator" w:id="1">
    <w:p w:rsidR="00F32403" w:rsidRDefault="00F32403" w:rsidP="00525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03" w:rsidRPr="00525E4C" w:rsidRDefault="00F32403">
    <w:pPr>
      <w:pStyle w:val="Kopfzeile"/>
      <w:rPr>
        <w:rFonts w:ascii="Arial" w:hAnsi="Arial" w:cs="Arial"/>
        <w:noProof/>
        <w:sz w:val="20"/>
        <w:szCs w:val="20"/>
      </w:rPr>
    </w:pPr>
    <w:r w:rsidRPr="00E761E8">
      <w:rPr>
        <w:rFonts w:ascii="Arial" w:hAnsi="Arial"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4871085</wp:posOffset>
          </wp:positionH>
          <wp:positionV relativeFrom="page">
            <wp:posOffset>180975</wp:posOffset>
          </wp:positionV>
          <wp:extent cx="1908810" cy="823595"/>
          <wp:effectExtent l="19050" t="0" r="0" b="0"/>
          <wp:wrapTight wrapText="bothSides">
            <wp:wrapPolygon edited="0">
              <wp:start x="-216" y="0"/>
              <wp:lineTo x="-216" y="20984"/>
              <wp:lineTo x="21557" y="20984"/>
              <wp:lineTo x="21557" y="0"/>
              <wp:lineTo x="-216" y="0"/>
            </wp:wrapPolygon>
          </wp:wrapTight>
          <wp:docPr id="2" name="Grafik 1" descr="Emalux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lux-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810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5D56" w:rsidRPr="00BB5D56">
      <w:rPr>
        <w:rFonts w:ascii="Arial" w:hAnsi="Arial" w:cs="Arial"/>
        <w:b/>
        <w:noProof/>
        <w:sz w:val="36"/>
        <w:szCs w:val="36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.7pt;margin-top:53.7pt;width:465.5pt;height:.05pt;z-index:251659264;mso-position-horizontal-relative:text;mso-position-vertical-relative:text" o:connectortype="straight" strokeweight="1.5pt"/>
      </w:pict>
    </w:r>
    <w:r w:rsidRPr="00E761E8">
      <w:rPr>
        <w:rFonts w:ascii="Arial" w:hAnsi="Arial" w:cs="Arial"/>
        <w:b/>
        <w:sz w:val="36"/>
        <w:szCs w:val="36"/>
      </w:rPr>
      <w:t>Technisches Merkblatt</w:t>
    </w:r>
    <w:r w:rsidRPr="00FD3AA0">
      <w:rPr>
        <w:rFonts w:ascii="Arial" w:hAnsi="Arial" w:cs="Arial"/>
        <w:b/>
        <w:sz w:val="32"/>
        <w:szCs w:val="32"/>
      </w:rPr>
      <w:br/>
    </w:r>
    <w:proofErr w:type="spellStart"/>
    <w:r w:rsidRPr="00FD3AA0">
      <w:rPr>
        <w:rFonts w:ascii="Arial" w:hAnsi="Arial" w:cs="Arial"/>
        <w:b/>
        <w:sz w:val="32"/>
        <w:szCs w:val="32"/>
      </w:rPr>
      <w:t>Emalux</w:t>
    </w:r>
    <w:proofErr w:type="spellEnd"/>
    <w:r w:rsidRPr="00FD3AA0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>Dachbeschichtung</w:t>
    </w:r>
    <w:r w:rsidRPr="00FD3AA0">
      <w:rPr>
        <w:rFonts w:ascii="Arial" w:hAnsi="Arial" w:cs="Arial"/>
        <w:sz w:val="32"/>
        <w:szCs w:val="32"/>
      </w:rPr>
      <w:br/>
    </w:r>
    <w:r w:rsidRPr="00525E4C">
      <w:rPr>
        <w:rFonts w:ascii="Arial" w:hAnsi="Arial" w:cs="Arial"/>
        <w:sz w:val="20"/>
        <w:szCs w:val="20"/>
      </w:rPr>
      <w:t xml:space="preserve">Stand: </w:t>
    </w:r>
    <w:r w:rsidR="00BB5D56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TIME  \@ "MMM-yyyy" </w:instrText>
    </w:r>
    <w:r w:rsidR="00BB5D56">
      <w:rPr>
        <w:rFonts w:ascii="Arial" w:hAnsi="Arial" w:cs="Arial"/>
        <w:sz w:val="20"/>
        <w:szCs w:val="20"/>
      </w:rPr>
      <w:fldChar w:fldCharType="separate"/>
    </w:r>
    <w:r w:rsidR="00465DA2">
      <w:rPr>
        <w:rFonts w:ascii="Arial" w:hAnsi="Arial" w:cs="Arial"/>
        <w:noProof/>
        <w:sz w:val="20"/>
        <w:szCs w:val="20"/>
      </w:rPr>
      <w:t>Mai-2017</w:t>
    </w:r>
    <w:r w:rsidR="00BB5D56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960"/>
    <w:multiLevelType w:val="hybridMultilevel"/>
    <w:tmpl w:val="BFC22E66"/>
    <w:lvl w:ilvl="0" w:tplc="48D8E3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3857"/>
    <w:multiLevelType w:val="hybridMultilevel"/>
    <w:tmpl w:val="5A946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C5F96"/>
    <w:multiLevelType w:val="hybridMultilevel"/>
    <w:tmpl w:val="FC32907C"/>
    <w:lvl w:ilvl="0" w:tplc="70E45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2D22"/>
    <w:multiLevelType w:val="hybridMultilevel"/>
    <w:tmpl w:val="37A05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25E4C"/>
    <w:rsid w:val="000177D9"/>
    <w:rsid w:val="000660EC"/>
    <w:rsid w:val="00081560"/>
    <w:rsid w:val="000F7476"/>
    <w:rsid w:val="001A50A7"/>
    <w:rsid w:val="001A7330"/>
    <w:rsid w:val="001D79CC"/>
    <w:rsid w:val="00211465"/>
    <w:rsid w:val="00240873"/>
    <w:rsid w:val="00243352"/>
    <w:rsid w:val="002472B6"/>
    <w:rsid w:val="00334927"/>
    <w:rsid w:val="00386F2D"/>
    <w:rsid w:val="003F09E2"/>
    <w:rsid w:val="004029AC"/>
    <w:rsid w:val="00425D6F"/>
    <w:rsid w:val="00425E74"/>
    <w:rsid w:val="00452358"/>
    <w:rsid w:val="00465DA2"/>
    <w:rsid w:val="00525E4C"/>
    <w:rsid w:val="00536D7B"/>
    <w:rsid w:val="005B5A16"/>
    <w:rsid w:val="005F53B4"/>
    <w:rsid w:val="006D215D"/>
    <w:rsid w:val="006D62E8"/>
    <w:rsid w:val="006F432B"/>
    <w:rsid w:val="00740B80"/>
    <w:rsid w:val="007B27AD"/>
    <w:rsid w:val="009023DC"/>
    <w:rsid w:val="0090366C"/>
    <w:rsid w:val="00915EE2"/>
    <w:rsid w:val="00996A3B"/>
    <w:rsid w:val="009A4E29"/>
    <w:rsid w:val="009D1816"/>
    <w:rsid w:val="009D209C"/>
    <w:rsid w:val="00A07B5D"/>
    <w:rsid w:val="00A356E9"/>
    <w:rsid w:val="00A55BFC"/>
    <w:rsid w:val="00A90340"/>
    <w:rsid w:val="00A978C0"/>
    <w:rsid w:val="00AF1CB9"/>
    <w:rsid w:val="00B23AD7"/>
    <w:rsid w:val="00B401BA"/>
    <w:rsid w:val="00B67A23"/>
    <w:rsid w:val="00B767B5"/>
    <w:rsid w:val="00BB5D56"/>
    <w:rsid w:val="00BC0AC1"/>
    <w:rsid w:val="00C4030C"/>
    <w:rsid w:val="00C647E8"/>
    <w:rsid w:val="00CC2EEC"/>
    <w:rsid w:val="00CD33A0"/>
    <w:rsid w:val="00CF47A9"/>
    <w:rsid w:val="00D54CEF"/>
    <w:rsid w:val="00DF18D7"/>
    <w:rsid w:val="00DF645D"/>
    <w:rsid w:val="00E119A1"/>
    <w:rsid w:val="00E52251"/>
    <w:rsid w:val="00E74058"/>
    <w:rsid w:val="00E761E8"/>
    <w:rsid w:val="00E8015C"/>
    <w:rsid w:val="00E954AA"/>
    <w:rsid w:val="00ED676F"/>
    <w:rsid w:val="00F32403"/>
    <w:rsid w:val="00F4740A"/>
    <w:rsid w:val="00F70231"/>
    <w:rsid w:val="00F96290"/>
    <w:rsid w:val="00FD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3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5E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5E4C"/>
  </w:style>
  <w:style w:type="paragraph" w:styleId="Fuzeile">
    <w:name w:val="footer"/>
    <w:basedOn w:val="Standard"/>
    <w:link w:val="FuzeileZchn"/>
    <w:uiPriority w:val="99"/>
    <w:semiHidden/>
    <w:unhideWhenUsed/>
    <w:rsid w:val="00525E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25E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E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E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25E4C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5B5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link w:val="Textkrper2Zchn"/>
    <w:semiHidden/>
    <w:rsid w:val="00F70231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F70231"/>
    <w:rPr>
      <w:rFonts w:ascii="Arial" w:eastAsia="Times New Roman" w:hAnsi="Arial" w:cs="Arial"/>
      <w:sz w:val="16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E954A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95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</dc:creator>
  <cp:keywords/>
  <dc:description/>
  <cp:lastModifiedBy>Löhr</cp:lastModifiedBy>
  <cp:revision>24</cp:revision>
  <cp:lastPrinted>2017-05-29T13:55:00Z</cp:lastPrinted>
  <dcterms:created xsi:type="dcterms:W3CDTF">2010-01-07T14:14:00Z</dcterms:created>
  <dcterms:modified xsi:type="dcterms:W3CDTF">2017-05-29T13:55:00Z</dcterms:modified>
</cp:coreProperties>
</file>